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autofit"/>
        <w:tblLook w:firstColumn="1" w:firstRow="1" w:lastColumn="0" w:lastRow="0" w:noHBand="0" w:noVBand="1" w:val="04A0"/>
      </w:tblPr>
      <w:tblGrid>
        <w:gridCol w:w="10656"/>
      </w:tblGrid>
      <w:tr>
        <w:tc>
          <w:tcPr>
            <w:tcW w:type="dxa" w:w="10656"/>
            <w:shd w:fill="1F2937"/>
          </w:tcPr>
          <w:p>
            <w:pPr>
              <w:spacing w:after="20" w:before="0"/>
              <w:jc w:val="center"/>
            </w:pPr>
            <w:r>
              <w:rPr>
                <w:b/>
                <w:color w:val="FFFFFF"/>
                <w:sz w:val="22"/>
              </w:rPr>
              <w:t>AQT  A E G I S  Q U A N T U M  T R U S T</w:t>
            </w:r>
          </w:p>
          <w:p>
            <w:pPr>
              <w:spacing w:after="20" w:before="0"/>
              <w:jc w:val="center"/>
            </w:pPr>
            <w:r>
              <w:rPr>
                <w:b/>
                <w:color w:val="FFFFFF"/>
                <w:sz w:val="40"/>
              </w:rPr>
              <w:t>Enterprise Assessment Approach</w:t>
            </w:r>
          </w:p>
          <w:p>
            <w:pPr>
              <w:spacing w:after="20" w:before="0"/>
              <w:jc w:val="center"/>
            </w:pPr>
            <w:r>
              <w:rPr>
                <w:color w:val="E6E6E6"/>
                <w:sz w:val="20"/>
              </w:rPr>
              <w:t>Risk-based and compliance-informed assessment strategy</w:t>
            </w:r>
          </w:p>
        </w:tc>
      </w:tr>
    </w:tbl>
    <w:p>
      <w:pPr>
        <w:spacing w:after="20"/>
      </w:pPr>
    </w:p>
    <w:p>
      <w:pPr>
        <w:pStyle w:val="Heading1"/>
      </w:pPr>
      <w:r>
        <w:t>Executive Summary</w:t>
      </w:r>
    </w:p>
    <w:p>
      <w:r>
        <w:rPr>
          <w:b/>
        </w:rPr>
        <w:t xml:space="preserve">This portfolio artifact reframes an enterprise-wide security assessment approach into GRC language. </w:t>
      </w:r>
      <w:r>
        <w:t>The assessment evaluates whether physical, technical, and organizational controls are working as expected, whether they align with compliance obligations, and whether they support the organization's business objectives. The goal is not just to identify technical weakness. The goal is to create a baseline for risk, control effectiveness, evidence collection, remediation, and future monitoring.</w:t>
      </w:r>
    </w:p>
    <w:tbl>
      <w:tblPr>
        <w:tblW w:type="auto" w:w="0"/>
        <w:jc w:val="center"/>
        <w:tblLook w:firstColumn="1" w:firstRow="1" w:lastColumn="0" w:lastRow="0" w:noHBand="0" w:noVBand="1" w:val="04A0"/>
      </w:tblPr>
      <w:tblGrid>
        <w:gridCol w:w="3552"/>
        <w:gridCol w:w="3552"/>
        <w:gridCol w:w="3552"/>
      </w:tblGrid>
      <w:tr>
        <w:tc>
          <w:tcPr>
            <w:tcW w:type="dxa" w:w="3552"/>
            <w:shd w:fill="D9EADF"/>
          </w:tcPr>
          <w:p>
            <w:pPr>
              <w:spacing w:after="20" w:before="0"/>
              <w:jc w:val="left"/>
            </w:pPr>
            <w:r/>
            <w:r>
              <w:rPr>
                <w:b/>
                <w:color w:val="1F2937"/>
                <w:sz w:val="18"/>
              </w:rPr>
              <w:t>Risk lens</w:t>
            </w:r>
          </w:p>
        </w:tc>
        <w:tc>
          <w:tcPr>
            <w:tcW w:type="dxa" w:w="3552"/>
            <w:shd w:fill="D9EADF"/>
          </w:tcPr>
          <w:p>
            <w:pPr>
              <w:spacing w:after="20" w:before="0"/>
              <w:jc w:val="left"/>
            </w:pPr>
            <w:r/>
            <w:r>
              <w:rPr>
                <w:b/>
                <w:color w:val="1F2937"/>
                <w:sz w:val="18"/>
              </w:rPr>
              <w:t>Control focus</w:t>
            </w:r>
          </w:p>
        </w:tc>
        <w:tc>
          <w:tcPr>
            <w:tcW w:type="dxa" w:w="3552"/>
            <w:shd w:fill="D9EADF"/>
          </w:tcPr>
          <w:p>
            <w:pPr>
              <w:spacing w:after="20" w:before="0"/>
              <w:jc w:val="left"/>
            </w:pPr>
            <w:r/>
            <w:r>
              <w:rPr>
                <w:b/>
                <w:color w:val="1F2937"/>
                <w:sz w:val="18"/>
              </w:rPr>
              <w:t>Evidence outcome</w:t>
            </w:r>
          </w:p>
        </w:tc>
      </w:tr>
      <w:tr>
        <w:tc>
          <w:tcPr>
            <w:tcW w:type="dxa" w:w="3552"/>
            <w:vAlign w:val="top"/>
          </w:tcPr>
          <w:p>
            <w:pPr>
              <w:spacing w:after="20" w:before="0"/>
              <w:jc w:val="left"/>
            </w:pPr>
            <w:r/>
            <w:r>
              <w:rPr>
                <w:b w:val="0"/>
                <w:sz w:val="17"/>
              </w:rPr>
              <w:t>Identify where access, process, or training gaps create exposure.</w:t>
            </w:r>
          </w:p>
        </w:tc>
        <w:tc>
          <w:tcPr>
            <w:tcW w:type="dxa" w:w="3552"/>
            <w:vAlign w:val="top"/>
          </w:tcPr>
          <w:p>
            <w:pPr>
              <w:spacing w:after="20" w:before="0"/>
              <w:jc w:val="left"/>
            </w:pPr>
            <w:r/>
            <w:r>
              <w:rPr>
                <w:b w:val="0"/>
                <w:sz w:val="17"/>
              </w:rPr>
              <w:t>Assess RBAC, zero trust access, SOPs, training, and layered application controls.</w:t>
            </w:r>
          </w:p>
        </w:tc>
        <w:tc>
          <w:tcPr>
            <w:tcW w:type="dxa" w:w="3552"/>
            <w:vAlign w:val="top"/>
          </w:tcPr>
          <w:p>
            <w:pPr>
              <w:spacing w:after="20" w:before="0"/>
              <w:jc w:val="left"/>
            </w:pPr>
            <w:r/>
            <w:r>
              <w:rPr>
                <w:b w:val="0"/>
                <w:sz w:val="17"/>
              </w:rPr>
              <w:t>Build a documented baseline that supports audit readiness and security investment decisions.</w:t>
            </w:r>
          </w:p>
        </w:tc>
      </w:tr>
    </w:tbl>
    <w:p>
      <w:pPr>
        <w:pStyle w:val="Heading1"/>
      </w:pPr>
      <w:r>
        <w:t>Assessment Strategy</w:t>
      </w:r>
    </w:p>
    <w:p>
      <w:pPr>
        <w:spacing w:after="20"/>
      </w:pPr>
      <w:r>
        <w:rPr>
          <w:b/>
          <w:color w:val="57534E"/>
          <w:sz w:val="16"/>
        </w:rPr>
        <w:t>APPROACH</w:t>
      </w:r>
    </w:p>
    <w:p>
      <w:pPr>
        <w:pStyle w:val="ListBullet"/>
        <w:spacing w:after="20"/>
      </w:pPr>
      <w:r>
        <w:t>Use a hybrid risk-based and compliance-informed strategy to evaluate control effectiveness across the enterprise.</w:t>
      </w:r>
    </w:p>
    <w:p>
      <w:pPr>
        <w:pStyle w:val="ListBullet"/>
        <w:spacing w:after="20"/>
      </w:pPr>
      <w:r>
        <w:t>Apply NIST as a flexible control framework that can align HR, IT, facilities, and business units under a shared governance model.</w:t>
      </w:r>
    </w:p>
    <w:p>
      <w:pPr>
        <w:pStyle w:val="ListBullet"/>
        <w:spacing w:after="20"/>
      </w:pPr>
      <w:r>
        <w:t>Focus assessment work on the user domain, RBAC, zero trust access, SOP quality, training consistency, and system/application interactions.</w:t>
      </w:r>
    </w:p>
    <w:p>
      <w:pPr>
        <w:pStyle w:val="ListBullet"/>
        <w:spacing w:after="20"/>
      </w:pPr>
      <w:r>
        <w:t>Use OWASP concepts where users interact with applications that collect, process, store, or transmit sensitive information.</w:t>
      </w:r>
    </w:p>
    <w:p>
      <w:pPr>
        <w:pStyle w:val="Heading1"/>
      </w:pPr>
      <w:r>
        <w:t>Key Assessment Themes</w:t>
      </w:r>
    </w:p>
    <w:tbl>
      <w:tblPr>
        <w:tblW w:type="auto" w:w="0"/>
        <w:jc w:val="center"/>
        <w:tblLook w:firstColumn="1" w:firstRow="1" w:lastColumn="0" w:lastRow="0" w:noHBand="0" w:noVBand="1" w:val="04A0"/>
      </w:tblPr>
      <w:tblGrid>
        <w:gridCol w:w="2664"/>
        <w:gridCol w:w="2664"/>
        <w:gridCol w:w="2664"/>
        <w:gridCol w:w="2664"/>
      </w:tblGrid>
      <w:tr>
        <w:tc>
          <w:tcPr>
            <w:tcW w:type="dxa" w:w="2664"/>
            <w:shd w:fill="1F2937"/>
          </w:tcPr>
          <w:p>
            <w:pPr>
              <w:spacing w:after="20" w:before="0"/>
              <w:jc w:val="left"/>
            </w:pPr>
            <w:r/>
            <w:r>
              <w:rPr>
                <w:b/>
                <w:color w:val="FFFFFF"/>
                <w:sz w:val="16"/>
              </w:rPr>
              <w:t>Theme</w:t>
            </w:r>
          </w:p>
        </w:tc>
        <w:tc>
          <w:tcPr>
            <w:tcW w:type="dxa" w:w="2664"/>
            <w:shd w:fill="1F2937"/>
          </w:tcPr>
          <w:p>
            <w:pPr>
              <w:spacing w:after="20" w:before="0"/>
              <w:jc w:val="left"/>
            </w:pPr>
            <w:r/>
            <w:r>
              <w:rPr>
                <w:b/>
                <w:color w:val="FFFFFF"/>
                <w:sz w:val="16"/>
              </w:rPr>
              <w:t>Assessment concern</w:t>
            </w:r>
          </w:p>
        </w:tc>
        <w:tc>
          <w:tcPr>
            <w:tcW w:type="dxa" w:w="2664"/>
            <w:shd w:fill="1F2937"/>
          </w:tcPr>
          <w:p>
            <w:pPr>
              <w:spacing w:after="20" w:before="0"/>
              <w:jc w:val="left"/>
            </w:pPr>
            <w:r/>
            <w:r>
              <w:rPr>
                <w:b/>
                <w:color w:val="FFFFFF"/>
                <w:sz w:val="16"/>
              </w:rPr>
              <w:t>GRC translation</w:t>
            </w:r>
          </w:p>
        </w:tc>
        <w:tc>
          <w:tcPr>
            <w:tcW w:type="dxa" w:w="2664"/>
            <w:shd w:fill="1F2937"/>
          </w:tcPr>
          <w:p>
            <w:pPr>
              <w:spacing w:after="20" w:before="0"/>
              <w:jc w:val="left"/>
            </w:pPr>
            <w:r/>
            <w:r>
              <w:rPr>
                <w:b/>
                <w:color w:val="FFFFFF"/>
                <w:sz w:val="16"/>
              </w:rPr>
              <w:t>Expected evidence</w:t>
            </w:r>
          </w:p>
        </w:tc>
      </w:tr>
      <w:tr>
        <w:tc>
          <w:tcPr>
            <w:tcW w:type="dxa" w:w="2664"/>
            <w:shd w:fill="F3F4F6"/>
          </w:tcPr>
          <w:p>
            <w:pPr>
              <w:spacing w:after="20" w:before="0"/>
              <w:jc w:val="left"/>
            </w:pPr>
            <w:r/>
            <w:r>
              <w:rPr>
                <w:b/>
                <w:sz w:val="14"/>
              </w:rPr>
              <w:t>RBAC and least privilege</w:t>
            </w:r>
          </w:p>
        </w:tc>
        <w:tc>
          <w:tcPr>
            <w:tcW w:type="dxa" w:w="2664"/>
          </w:tcPr>
          <w:p>
            <w:pPr>
              <w:spacing w:after="20" w:before="0"/>
              <w:jc w:val="left"/>
            </w:pPr>
            <w:r/>
            <w:r>
              <w:rPr>
                <w:b w:val="0"/>
                <w:sz w:val="14"/>
              </w:rPr>
              <w:t>Access must align with current job role and business need.</w:t>
            </w:r>
          </w:p>
        </w:tc>
        <w:tc>
          <w:tcPr>
            <w:tcW w:type="dxa" w:w="2664"/>
          </w:tcPr>
          <w:p>
            <w:pPr>
              <w:spacing w:after="20" w:before="0"/>
              <w:jc w:val="left"/>
            </w:pPr>
            <w:r/>
            <w:r>
              <w:rPr>
                <w:b w:val="0"/>
                <w:sz w:val="14"/>
              </w:rPr>
              <w:t>Access governance, entitlement review, least privilege.</w:t>
            </w:r>
          </w:p>
        </w:tc>
        <w:tc>
          <w:tcPr>
            <w:tcW w:type="dxa" w:w="2664"/>
          </w:tcPr>
          <w:p>
            <w:pPr>
              <w:spacing w:after="20" w:before="0"/>
              <w:jc w:val="left"/>
            </w:pPr>
            <w:r/>
            <w:r>
              <w:rPr>
                <w:b w:val="0"/>
                <w:sz w:val="14"/>
              </w:rPr>
              <w:t>Role matrix, access review records, approval workflow.</w:t>
            </w:r>
          </w:p>
        </w:tc>
      </w:tr>
      <w:tr>
        <w:tc>
          <w:tcPr>
            <w:tcW w:type="dxa" w:w="2664"/>
            <w:shd w:fill="F3F4F6"/>
          </w:tcPr>
          <w:p>
            <w:pPr>
              <w:spacing w:after="20" w:before="0"/>
              <w:jc w:val="left"/>
            </w:pPr>
            <w:r/>
            <w:r>
              <w:rPr>
                <w:b/>
                <w:sz w:val="14"/>
              </w:rPr>
              <w:t>Zero trust access</w:t>
            </w:r>
          </w:p>
        </w:tc>
        <w:tc>
          <w:tcPr>
            <w:tcW w:type="dxa" w:w="2664"/>
          </w:tcPr>
          <w:p>
            <w:pPr>
              <w:spacing w:after="20" w:before="0"/>
              <w:jc w:val="left"/>
            </w:pPr>
            <w:r/>
            <w:r>
              <w:rPr>
                <w:b w:val="0"/>
                <w:sz w:val="14"/>
              </w:rPr>
              <w:t>Remote and private-application access should be verified before trust is granted.</w:t>
            </w:r>
          </w:p>
        </w:tc>
        <w:tc>
          <w:tcPr>
            <w:tcW w:type="dxa" w:w="2664"/>
          </w:tcPr>
          <w:p>
            <w:pPr>
              <w:spacing w:after="20" w:before="0"/>
              <w:jc w:val="left"/>
            </w:pPr>
            <w:r/>
            <w:r>
              <w:rPr>
                <w:b w:val="0"/>
                <w:sz w:val="14"/>
              </w:rPr>
              <w:t>Identity-aware access control and conditional access posture.</w:t>
            </w:r>
          </w:p>
        </w:tc>
        <w:tc>
          <w:tcPr>
            <w:tcW w:type="dxa" w:w="2664"/>
          </w:tcPr>
          <w:p>
            <w:pPr>
              <w:spacing w:after="20" w:before="0"/>
              <w:jc w:val="left"/>
            </w:pPr>
            <w:r/>
            <w:r>
              <w:rPr>
                <w:b w:val="0"/>
                <w:sz w:val="14"/>
              </w:rPr>
              <w:t>ZPA policy, MFA coverage, access logs, exception records.</w:t>
            </w:r>
          </w:p>
        </w:tc>
      </w:tr>
      <w:tr>
        <w:tc>
          <w:tcPr>
            <w:tcW w:type="dxa" w:w="2664"/>
            <w:shd w:fill="F3F4F6"/>
          </w:tcPr>
          <w:p>
            <w:pPr>
              <w:spacing w:after="20" w:before="0"/>
              <w:jc w:val="left"/>
            </w:pPr>
            <w:r/>
            <w:r>
              <w:rPr>
                <w:b/>
                <w:sz w:val="14"/>
              </w:rPr>
              <w:t>Job-role leakage</w:t>
            </w:r>
          </w:p>
        </w:tc>
        <w:tc>
          <w:tcPr>
            <w:tcW w:type="dxa" w:w="2664"/>
          </w:tcPr>
          <w:p>
            <w:pPr>
              <w:spacing w:after="20" w:before="0"/>
              <w:jc w:val="left"/>
            </w:pPr>
            <w:r/>
            <w:r>
              <w:rPr>
                <w:b w:val="0"/>
                <w:sz w:val="14"/>
              </w:rPr>
              <w:t>Employees may retain stale access during lateral or downward movement.</w:t>
            </w:r>
          </w:p>
        </w:tc>
        <w:tc>
          <w:tcPr>
            <w:tcW w:type="dxa" w:w="2664"/>
          </w:tcPr>
          <w:p>
            <w:pPr>
              <w:spacing w:after="20" w:before="0"/>
              <w:jc w:val="left"/>
            </w:pPr>
            <w:r/>
            <w:r>
              <w:rPr>
                <w:b w:val="0"/>
                <w:sz w:val="14"/>
              </w:rPr>
              <w:t>Identity lifecycle risk and control drift.</w:t>
            </w:r>
          </w:p>
        </w:tc>
        <w:tc>
          <w:tcPr>
            <w:tcW w:type="dxa" w:w="2664"/>
          </w:tcPr>
          <w:p>
            <w:pPr>
              <w:spacing w:after="20" w:before="0"/>
              <w:jc w:val="left"/>
            </w:pPr>
            <w:r/>
            <w:r>
              <w:rPr>
                <w:b w:val="0"/>
                <w:sz w:val="14"/>
              </w:rPr>
              <w:t>JML records, role-change reviews, termination/change checklists.</w:t>
            </w:r>
          </w:p>
        </w:tc>
      </w:tr>
      <w:tr>
        <w:tc>
          <w:tcPr>
            <w:tcW w:type="dxa" w:w="2664"/>
            <w:shd w:fill="F3F4F6"/>
          </w:tcPr>
          <w:p>
            <w:pPr>
              <w:spacing w:after="20" w:before="0"/>
              <w:jc w:val="left"/>
            </w:pPr>
            <w:r/>
            <w:r>
              <w:rPr>
                <w:b/>
                <w:sz w:val="14"/>
              </w:rPr>
              <w:t>Training and SOPs</w:t>
            </w:r>
          </w:p>
        </w:tc>
        <w:tc>
          <w:tcPr>
            <w:tcW w:type="dxa" w:w="2664"/>
          </w:tcPr>
          <w:p>
            <w:pPr>
              <w:spacing w:after="20" w:before="0"/>
              <w:jc w:val="left"/>
            </w:pPr>
            <w:r/>
            <w:r>
              <w:rPr>
                <w:b w:val="0"/>
                <w:sz w:val="14"/>
              </w:rPr>
              <w:t>Inconsistent training weakens control execution and response readiness.</w:t>
            </w:r>
          </w:p>
        </w:tc>
        <w:tc>
          <w:tcPr>
            <w:tcW w:type="dxa" w:w="2664"/>
          </w:tcPr>
          <w:p>
            <w:pPr>
              <w:spacing w:after="20" w:before="0"/>
              <w:jc w:val="left"/>
            </w:pPr>
            <w:r/>
            <w:r>
              <w:rPr>
                <w:b w:val="0"/>
                <w:sz w:val="14"/>
              </w:rPr>
              <w:t>People/process control maturity.</w:t>
            </w:r>
          </w:p>
        </w:tc>
        <w:tc>
          <w:tcPr>
            <w:tcW w:type="dxa" w:w="2664"/>
          </w:tcPr>
          <w:p>
            <w:pPr>
              <w:spacing w:after="20" w:before="0"/>
              <w:jc w:val="left"/>
            </w:pPr>
            <w:r/>
            <w:r>
              <w:rPr>
                <w:b w:val="0"/>
                <w:sz w:val="14"/>
              </w:rPr>
              <w:t>Training records, SOP owner, review cadence, acknowledgment evidence.</w:t>
            </w:r>
          </w:p>
        </w:tc>
      </w:tr>
      <w:tr>
        <w:tc>
          <w:tcPr>
            <w:tcW w:type="dxa" w:w="2664"/>
            <w:shd w:fill="F3F4F6"/>
          </w:tcPr>
          <w:p>
            <w:pPr>
              <w:spacing w:after="20" w:before="0"/>
              <w:jc w:val="left"/>
            </w:pPr>
            <w:r/>
            <w:r>
              <w:rPr>
                <w:b/>
                <w:sz w:val="14"/>
              </w:rPr>
              <w:t>Application/data controls</w:t>
            </w:r>
          </w:p>
        </w:tc>
        <w:tc>
          <w:tcPr>
            <w:tcW w:type="dxa" w:w="2664"/>
          </w:tcPr>
          <w:p>
            <w:pPr>
              <w:spacing w:after="20" w:before="0"/>
              <w:jc w:val="left"/>
            </w:pPr>
            <w:r/>
            <w:r>
              <w:rPr>
                <w:b w:val="0"/>
                <w:sz w:val="14"/>
              </w:rPr>
              <w:t>User and application domains overlap when systems process sensitive data.</w:t>
            </w:r>
          </w:p>
        </w:tc>
        <w:tc>
          <w:tcPr>
            <w:tcW w:type="dxa" w:w="2664"/>
          </w:tcPr>
          <w:p>
            <w:pPr>
              <w:spacing w:after="20" w:before="0"/>
              <w:jc w:val="left"/>
            </w:pPr>
            <w:r/>
            <w:r>
              <w:rPr>
                <w:b w:val="0"/>
                <w:sz w:val="14"/>
              </w:rPr>
              <w:t>Layered controls, secure design, data protection.</w:t>
            </w:r>
          </w:p>
        </w:tc>
        <w:tc>
          <w:tcPr>
            <w:tcW w:type="dxa" w:w="2664"/>
          </w:tcPr>
          <w:p>
            <w:pPr>
              <w:spacing w:after="20" w:before="0"/>
              <w:jc w:val="left"/>
            </w:pPr>
            <w:r/>
            <w:r>
              <w:rPr>
                <w:b w:val="0"/>
                <w:sz w:val="14"/>
              </w:rPr>
              <w:t>OWASP-aligned review notes, data flow, backup and access controls.</w:t>
            </w:r>
          </w:p>
        </w:tc>
      </w:tr>
      <w:tr>
        <w:tc>
          <w:tcPr>
            <w:tcW w:type="dxa" w:w="2664"/>
            <w:shd w:fill="F3F4F6"/>
          </w:tcPr>
          <w:p>
            <w:pPr>
              <w:spacing w:after="20" w:before="0"/>
              <w:jc w:val="left"/>
            </w:pPr>
            <w:r/>
            <w:r>
              <w:rPr>
                <w:b/>
                <w:sz w:val="14"/>
              </w:rPr>
              <w:t>Assessment documentation</w:t>
            </w:r>
          </w:p>
        </w:tc>
        <w:tc>
          <w:tcPr>
            <w:tcW w:type="dxa" w:w="2664"/>
          </w:tcPr>
          <w:p>
            <w:pPr>
              <w:spacing w:after="20" w:before="0"/>
              <w:jc w:val="left"/>
            </w:pPr>
            <w:r/>
            <w:r>
              <w:rPr>
                <w:b w:val="0"/>
                <w:sz w:val="14"/>
              </w:rPr>
              <w:t>Findings must support remediation and future security budgeting.</w:t>
            </w:r>
          </w:p>
        </w:tc>
        <w:tc>
          <w:tcPr>
            <w:tcW w:type="dxa" w:w="2664"/>
          </w:tcPr>
          <w:p>
            <w:pPr>
              <w:spacing w:after="20" w:before="0"/>
              <w:jc w:val="left"/>
            </w:pPr>
            <w:r/>
            <w:r>
              <w:rPr>
                <w:b w:val="0"/>
                <w:sz w:val="14"/>
              </w:rPr>
              <w:t>Audit readiness and evidence planning.</w:t>
            </w:r>
          </w:p>
        </w:tc>
        <w:tc>
          <w:tcPr>
            <w:tcW w:type="dxa" w:w="2664"/>
          </w:tcPr>
          <w:p>
            <w:pPr>
              <w:spacing w:after="20" w:before="0"/>
              <w:jc w:val="left"/>
            </w:pPr>
            <w:r/>
            <w:r>
              <w:rPr>
                <w:b w:val="0"/>
                <w:sz w:val="14"/>
              </w:rPr>
              <w:t>Assessment report, risk rating, owner, due date, remediation status.</w:t>
            </w:r>
          </w:p>
        </w:tc>
      </w:tr>
    </w:tbl>
    <w:p>
      <w:pPr>
        <w:pStyle w:val="Heading1"/>
      </w:pPr>
      <w:r>
        <w:t>Risk to Control Spine</w:t>
      </w:r>
    </w:p>
    <w:tbl>
      <w:tblPr>
        <w:tblW w:type="auto" w:w="0"/>
        <w:jc w:val="center"/>
        <w:tblLook w:firstColumn="1" w:firstRow="1" w:lastColumn="0" w:lastRow="0" w:noHBand="0" w:noVBand="1" w:val="04A0"/>
      </w:tblPr>
      <w:tblGrid>
        <w:gridCol w:w="2131"/>
        <w:gridCol w:w="2131"/>
        <w:gridCol w:w="2131"/>
        <w:gridCol w:w="2131"/>
        <w:gridCol w:w="2131"/>
      </w:tblGrid>
      <w:tr>
        <w:tc>
          <w:tcPr>
            <w:tcW w:type="dxa" w:w="2131"/>
            <w:shd w:fill="F4E7B5"/>
          </w:tcPr>
          <w:p>
            <w:pPr>
              <w:spacing w:after="20" w:before="0"/>
              <w:jc w:val="left"/>
            </w:pPr>
            <w:r/>
            <w:r>
              <w:rPr>
                <w:b/>
                <w:color w:val="1F2937"/>
                <w:sz w:val="18"/>
              </w:rPr>
              <w:t>Risk</w:t>
            </w:r>
          </w:p>
        </w:tc>
        <w:tc>
          <w:tcPr>
            <w:tcW w:type="dxa" w:w="2131"/>
            <w:shd w:fill="D9EADF"/>
          </w:tcPr>
          <w:p>
            <w:pPr>
              <w:spacing w:after="20" w:before="0"/>
              <w:jc w:val="left"/>
            </w:pPr>
            <w:r/>
            <w:r>
              <w:rPr>
                <w:b/>
                <w:color w:val="1F2937"/>
                <w:sz w:val="18"/>
              </w:rPr>
              <w:t>Control</w:t>
            </w:r>
          </w:p>
        </w:tc>
        <w:tc>
          <w:tcPr>
            <w:tcW w:type="dxa" w:w="2131"/>
            <w:shd w:fill="E7D7F4"/>
          </w:tcPr>
          <w:p>
            <w:pPr>
              <w:spacing w:after="20" w:before="0"/>
              <w:jc w:val="left"/>
            </w:pPr>
            <w:r/>
            <w:r>
              <w:rPr>
                <w:b/>
                <w:color w:val="1F2937"/>
                <w:sz w:val="18"/>
              </w:rPr>
              <w:t>Evidence</w:t>
            </w:r>
          </w:p>
        </w:tc>
        <w:tc>
          <w:tcPr>
            <w:tcW w:type="dxa" w:w="2131"/>
            <w:shd w:fill="F3F4F6"/>
          </w:tcPr>
          <w:p>
            <w:pPr>
              <w:spacing w:after="20" w:before="0"/>
              <w:jc w:val="left"/>
            </w:pPr>
            <w:r/>
            <w:r>
              <w:rPr>
                <w:b/>
                <w:color w:val="1F2937"/>
                <w:sz w:val="18"/>
              </w:rPr>
              <w:t>Remediation</w:t>
            </w:r>
          </w:p>
        </w:tc>
        <w:tc>
          <w:tcPr>
            <w:tcW w:type="dxa" w:w="2131"/>
            <w:shd w:fill="F4E7B5"/>
          </w:tcPr>
          <w:p>
            <w:pPr>
              <w:spacing w:after="20" w:before="0"/>
              <w:jc w:val="left"/>
            </w:pPr>
            <w:r/>
            <w:r>
              <w:rPr>
                <w:b/>
                <w:color w:val="1F2937"/>
                <w:sz w:val="18"/>
              </w:rPr>
              <w:t>Monitoring</w:t>
            </w:r>
          </w:p>
        </w:tc>
      </w:tr>
      <w:tr>
        <w:tc>
          <w:tcPr>
            <w:tcW w:type="dxa" w:w="2131"/>
          </w:tcPr>
          <w:p>
            <w:pPr>
              <w:spacing w:after="20" w:before="0"/>
              <w:jc w:val="left"/>
            </w:pPr>
            <w:r/>
            <w:r>
              <w:rPr>
                <w:b w:val="0"/>
                <w:sz w:val="16"/>
              </w:rPr>
              <w:t>What could go wrong?</w:t>
            </w:r>
          </w:p>
        </w:tc>
        <w:tc>
          <w:tcPr>
            <w:tcW w:type="dxa" w:w="2131"/>
          </w:tcPr>
          <w:p>
            <w:pPr>
              <w:spacing w:after="20" w:before="0"/>
              <w:jc w:val="left"/>
            </w:pPr>
            <w:r/>
            <w:r>
              <w:rPr>
                <w:b w:val="0"/>
                <w:sz w:val="16"/>
              </w:rPr>
              <w:t>What should exist?</w:t>
            </w:r>
          </w:p>
        </w:tc>
        <w:tc>
          <w:tcPr>
            <w:tcW w:type="dxa" w:w="2131"/>
          </w:tcPr>
          <w:p>
            <w:pPr>
              <w:spacing w:after="20" w:before="0"/>
              <w:jc w:val="left"/>
            </w:pPr>
            <w:r/>
            <w:r>
              <w:rPr>
                <w:b w:val="0"/>
                <w:sz w:val="16"/>
              </w:rPr>
              <w:t>How do we prove it?</w:t>
            </w:r>
          </w:p>
        </w:tc>
        <w:tc>
          <w:tcPr>
            <w:tcW w:type="dxa" w:w="2131"/>
          </w:tcPr>
          <w:p>
            <w:pPr>
              <w:spacing w:after="20" w:before="0"/>
              <w:jc w:val="left"/>
            </w:pPr>
            <w:r/>
            <w:r>
              <w:rPr>
                <w:b w:val="0"/>
                <w:sz w:val="16"/>
              </w:rPr>
              <w:t>What changes next?</w:t>
            </w:r>
          </w:p>
        </w:tc>
        <w:tc>
          <w:tcPr>
            <w:tcW w:type="dxa" w:w="2131"/>
          </w:tcPr>
          <w:p>
            <w:pPr>
              <w:spacing w:after="20" w:before="0"/>
              <w:jc w:val="left"/>
            </w:pPr>
            <w:r/>
            <w:r>
              <w:rPr>
                <w:b w:val="0"/>
                <w:sz w:val="16"/>
              </w:rPr>
              <w:t>How do we keep it honest?</w:t>
            </w:r>
          </w:p>
        </w:tc>
      </w:tr>
    </w:tbl>
    <w:p>
      <w:pPr>
        <w:pStyle w:val="Heading1"/>
      </w:pPr>
      <w:r>
        <w:t>Recommended Next Steps</w:t>
      </w:r>
    </w:p>
    <w:p>
      <w:pPr>
        <w:pStyle w:val="ListBullet"/>
        <w:spacing w:after="20"/>
      </w:pPr>
      <w:r>
        <w:t>Formalize the assessment scope by domain, system, data type, and control owner.</w:t>
      </w:r>
    </w:p>
    <w:p>
      <w:pPr>
        <w:pStyle w:val="ListBullet"/>
        <w:spacing w:after="20"/>
      </w:pPr>
      <w:r>
        <w:t>Map access and user-domain findings to control themes, evidence requirements, and remediation priority.</w:t>
      </w:r>
    </w:p>
    <w:p>
      <w:pPr>
        <w:pStyle w:val="ListBullet"/>
        <w:spacing w:after="20"/>
      </w:pPr>
      <w:r>
        <w:t>Review RBAC and role-change processes for stale access, excessive privilege, and missing approvals.</w:t>
      </w:r>
    </w:p>
    <w:p>
      <w:pPr>
        <w:pStyle w:val="ListBullet"/>
        <w:spacing w:after="20"/>
      </w:pPr>
      <w:r>
        <w:t>Validate remote access controls, MFA coverage, and zero trust policy enforcement for private applications.</w:t>
      </w:r>
    </w:p>
    <w:p>
      <w:pPr>
        <w:pStyle w:val="ListBullet"/>
        <w:spacing w:after="20"/>
      </w:pPr>
      <w:r>
        <w:t>Use metrics and reporting to establish a baseline, then monitor whether remediation actually reduces risk.</w:t>
      </w:r>
    </w:p>
    <w:p>
      <w:pPr>
        <w:pStyle w:val="Heading1"/>
      </w:pPr>
      <w:r>
        <w:t>What This Proves</w:t>
      </w:r>
    </w:p>
    <w:tbl>
      <w:tblPr>
        <w:tblW w:type="auto" w:w="0"/>
        <w:jc w:val="center"/>
        <w:tblLook w:firstColumn="1" w:firstRow="1" w:lastColumn="0" w:lastRow="0" w:noHBand="0" w:noVBand="1" w:val="04A0"/>
      </w:tblPr>
      <w:tblGrid>
        <w:gridCol w:w="5328"/>
        <w:gridCol w:w="5328"/>
      </w:tblGrid>
      <w:tr>
        <w:tc>
          <w:tcPr>
            <w:tcW w:type="dxa" w:w="5328"/>
            <w:shd w:fill="D9EADF"/>
          </w:tcPr>
          <w:p>
            <w:pPr>
              <w:spacing w:after="20" w:before="0"/>
              <w:jc w:val="left"/>
            </w:pPr>
            <w:r/>
            <w:r>
              <w:rPr>
                <w:b/>
                <w:color w:val="1F2937"/>
                <w:sz w:val="17"/>
              </w:rPr>
              <w:t>Skill demonstrated</w:t>
            </w:r>
          </w:p>
        </w:tc>
        <w:tc>
          <w:tcPr>
            <w:tcW w:type="dxa" w:w="5328"/>
          </w:tcPr>
          <w:p>
            <w:pPr>
              <w:spacing w:after="20" w:before="0"/>
              <w:jc w:val="left"/>
            </w:pPr>
            <w:r/>
            <w:r>
              <w:rPr>
                <w:b w:val="0"/>
                <w:sz w:val="17"/>
              </w:rPr>
              <w:t>Enterprise assessment planning, access governance, evidence planning, control documentation, remediation thinking, technical-to-business translation.</w:t>
            </w:r>
          </w:p>
        </w:tc>
      </w:tr>
      <w:tr>
        <w:tc>
          <w:tcPr>
            <w:tcW w:type="dxa" w:w="5328"/>
            <w:shd w:fill="F4E7B5"/>
          </w:tcPr>
          <w:p>
            <w:pPr>
              <w:spacing w:after="20" w:before="0"/>
              <w:jc w:val="left"/>
            </w:pPr>
            <w:r/>
            <w:r>
              <w:rPr>
                <w:b/>
                <w:color w:val="1F2937"/>
                <w:sz w:val="17"/>
              </w:rPr>
              <w:t>Interview talking point</w:t>
            </w:r>
          </w:p>
        </w:tc>
        <w:tc>
          <w:tcPr>
            <w:tcW w:type="dxa" w:w="5328"/>
          </w:tcPr>
          <w:p>
            <w:pPr>
              <w:spacing w:after="20" w:before="0"/>
              <w:jc w:val="left"/>
            </w:pPr>
            <w:r/>
            <w:r>
              <w:rPr>
                <w:b w:val="0"/>
                <w:sz w:val="17"/>
              </w:rPr>
              <w:t>This artifact shows how I turn an enterprise security assessment into a governance-ready approach. I am not just asking whether a technical control exists. I am asking whether it aligns to risk, whether evidence proves it, who owns remediation, and how the organization monitors it going forward.</w:t>
            </w:r>
          </w:p>
        </w:tc>
      </w:tr>
    </w:tbl>
    <w:p>
      <w:pPr>
        <w:pStyle w:val="Heading1"/>
      </w:pPr>
      <w:r>
        <w:t>Portfolio Use Note</w:t>
      </w:r>
    </w:p>
    <w:p>
      <w:r>
        <w:rPr>
          <w:b/>
        </w:rPr>
        <w:t xml:space="preserve">Use this as a scenario-based portfolio artifact, not as a claim of completed client work. </w:t>
      </w:r>
      <w:r>
        <w:t>Keep the raw academic source private as supporting evidence. Public-facing language should emphasize assessment strategy, risk themes, control expectations, evidence needs, and remediation planning.</w:t>
      </w:r>
    </w:p>
    <w:sectPr w:rsidR="00FC693F" w:rsidRPr="0006063C" w:rsidSect="00034616">
      <w:headerReference w:type="default" r:id="rId9"/>
      <w:footerReference w:type="default" r:id="rId10"/>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37373"/>
        <w:sz w:val="15"/>
      </w:rPr>
      <w:t>Scenario-Based Portfolio Artifact | Academic source adapted for professional GRC presentation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5A5A5A"/>
        <w:sz w:val="16"/>
      </w:rPr>
      <w:t>AEGIS QUANTUM TRUST | Governance - Risk - Compliance | Protecting what comes next.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F293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F293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1F293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