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4F2EC"/>
          <w:left w:val="single" w:sz="0" w:space="0" w:color="F4F2EC"/>
          <w:bottom w:val="single" w:sz="0" w:space="0" w:color="F4F2EC"/>
          <w:right w:val="single" w:sz="0" w:space="0" w:color="F4F2EC"/>
          <w:insideH w:val="single" w:sz="0" w:space="0" w:color="F4F2EC"/>
          <w:insideV w:val="single" w:sz="0" w:space="0" w:color="F4F2EC"/>
        </w:tblBorders>
      </w:tblPr>
      <w:tblGrid>
        <w:gridCol w:w="2160"/>
        <w:gridCol w:w="11808"/>
      </w:tblGrid>
      <w:tr>
        <w:tc>
          <w:tcPr>
            <w:tcW w:type="dxa" w:w="7128"/>
            <w:shd w:fill="0C2340"/>
            <w:tcMar>
              <w:top w:w="160" w:type="dxa"/>
              <w:start w:w="160" w:type="dxa"/>
              <w:bottom w:w="16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Georgia" w:hAnsi="Georgia"/>
                <w:b/>
                <w:color w:val="F4F2EC"/>
                <w:sz w:val="60"/>
              </w:rPr>
              <w:t>AQT</w:t>
            </w:r>
          </w:p>
        </w:tc>
        <w:tc>
          <w:tcPr>
            <w:tcW w:type="dxa" w:w="7128"/>
            <w:shd w:fill="F4F2EC"/>
            <w:tcMar>
              <w:top w:w="160" w:type="dxa"/>
              <w:start w:w="160" w:type="dxa"/>
              <w:bottom w:w="160" w:type="dxa"/>
              <w:end w:w="160" w:type="dxa"/>
            </w:tcMar>
            <w:vAlign w:val="center"/>
          </w:tcPr>
          <w:p>
            <w:pPr>
              <w:jc w:val="left"/>
            </w:pPr>
            <w:r>
              <w:rPr>
                <w:rFonts w:ascii="Georgia" w:hAnsi="Georgia"/>
                <w:b/>
                <w:color w:val="0C2340"/>
                <w:sz w:val="42"/>
              </w:rPr>
              <w:t>A E G I S  Q U A N T U M  T R U S T</w:t>
            </w:r>
          </w:p>
          <w:p>
            <w:pPr>
              <w:spacing w:before="40" w:after="0"/>
            </w:pPr>
            <w:r>
              <w:rPr>
                <w:rFonts w:ascii="Georgia" w:hAnsi="Georgia"/>
                <w:i/>
                <w:color w:val="5B6B7C"/>
                <w:sz w:val="19"/>
              </w:rPr>
              <w:t>Protecting what comes next.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0" w:space="0" w:color="C2A24B"/>
          <w:left w:val="single" w:sz="0" w:space="0" w:color="C2A24B"/>
          <w:bottom w:val="single" w:sz="0" w:space="0" w:color="C2A24B"/>
          <w:right w:val="single" w:sz="0" w:space="0" w:color="C2A24B"/>
          <w:insideH w:val="single" w:sz="0" w:space="0" w:color="C2A24B"/>
          <w:insideV w:val="single" w:sz="0" w:space="0" w:color="C2A24B"/>
        </w:tblBorders>
      </w:tblPr>
      <w:tblGrid>
        <w:gridCol w:w="14256"/>
      </w:tblGrid>
      <w:tr>
        <w:tc>
          <w:tcPr>
            <w:tcW w:type="dxa" w:w="14256"/>
            <w:shd w:fill="C2A24B"/>
            <w:tcMar>
              <w:top w:w="4" w:type="dxa"/>
              <w:start w:w="0" w:type="dxa"/>
              <w:bottom w:w="4" w:type="dxa"/>
              <w:end w:w="0" w:type="dxa"/>
            </w:tcMar>
          </w:tcPr>
          <w:p>
            <w:r/>
          </w:p>
        </w:tc>
      </w:tr>
    </w:tbl>
    <w:p>
      <w:pPr>
        <w:spacing w:before="240" w:after="40"/>
      </w:pPr>
      <w:r>
        <w:rPr>
          <w:rFonts w:ascii="Georgia" w:hAnsi="Georgia"/>
          <w:b/>
          <w:color w:val="0C2340"/>
          <w:sz w:val="44"/>
        </w:rPr>
        <w:t>Cybersecurity Audit and Assessment Playbook</w:t>
      </w:r>
    </w:p>
    <w:p>
      <w:pPr>
        <w:spacing w:after="140"/>
      </w:pPr>
      <w:r>
        <w:rPr>
          <w:rFonts w:ascii="Aptos" w:hAnsi="Aptos"/>
          <w:color w:val="5B6B7C"/>
          <w:sz w:val="20"/>
        </w:rPr>
        <w:t>Scenario-Based GRC Portfolio Artifact | Key Risk Summary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C2A24B"/>
          <w:left w:val="single" w:sz="8" w:space="0" w:color="C2A24B"/>
          <w:bottom w:val="single" w:sz="8" w:space="0" w:color="C2A24B"/>
          <w:right w:val="single" w:sz="8" w:space="0" w:color="C2A24B"/>
          <w:insideH w:val="single" w:sz="8" w:space="0" w:color="C2A24B"/>
          <w:insideV w:val="single" w:sz="8" w:space="0" w:color="C2A24B"/>
        </w:tblBorders>
      </w:tblPr>
      <w:tblGrid>
        <w:gridCol w:w="14256"/>
      </w:tblGrid>
      <w:tr>
        <w:tc>
          <w:tcPr>
            <w:tcW w:type="dxa" w:w="14256"/>
            <w:shd w:fill="E3E6E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rFonts w:ascii="Georgia" w:hAnsi="Georgia"/>
                <w:b/>
                <w:color w:val="0C2340"/>
                <w:sz w:val="26"/>
              </w:rPr>
              <w:t>Executive Summary</w:t>
            </w:r>
          </w:p>
          <w:p>
            <w:pPr>
              <w:spacing w:after="0"/>
            </w:pPr>
            <w:r>
              <w:rPr>
                <w:rFonts w:ascii="Aptos" w:hAnsi="Aptos"/>
                <w:sz w:val="18"/>
              </w:rPr>
              <w:t>This portfolio document summarizes key cybersecurity risks identified from scenario-based academic/source materials. The fictional Aegis Quantum Trust environment is used only as a portfolio wrapper. The content is framed as assessment observations and recommendations; it does not imply real client work or completed control implementation.</w:t>
            </w:r>
          </w:p>
        </w:tc>
      </w:tr>
    </w:tbl>
    <w:p>
      <w:pPr>
        <w:spacing w:before="220" w:after="80"/>
      </w:pPr>
      <w:r>
        <w:rPr>
          <w:rFonts w:ascii="Georgia" w:hAnsi="Georgia"/>
          <w:b/>
          <w:color w:val="0C2340"/>
          <w:sz w:val="26"/>
        </w:rPr>
        <w:t>Risk Severity Legend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8" w:space="0" w:color="F4F2EC"/>
          <w:left w:val="single" w:sz="8" w:space="0" w:color="F4F2EC"/>
          <w:bottom w:val="single" w:sz="8" w:space="0" w:color="F4F2EC"/>
          <w:right w:val="single" w:sz="8" w:space="0" w:color="F4F2EC"/>
          <w:insideH w:val="single" w:sz="8" w:space="0" w:color="F4F2EC"/>
          <w:insideV w:val="single" w:sz="8" w:space="0" w:color="F4F2EC"/>
        </w:tblBorders>
      </w:tblPr>
      <w:tblGrid>
        <w:gridCol w:w="2851"/>
        <w:gridCol w:w="2851"/>
        <w:gridCol w:w="2851"/>
        <w:gridCol w:w="2851"/>
        <w:gridCol w:w="2851"/>
      </w:tblGrid>
      <w:tr>
        <w:tc>
          <w:tcPr>
            <w:tcW w:type="dxa" w:w="2851"/>
            <w:shd w:fill="3A7D4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14181C"/>
                <w:sz w:val="16"/>
              </w:rPr>
              <w:t>Low</w:t>
              <w:br/>
            </w:r>
            <w:r>
              <w:rPr>
                <w:rFonts w:ascii="Courier New" w:hAnsi="Courier New"/>
                <w:color w:val="14181C"/>
                <w:sz w:val="15"/>
              </w:rPr>
              <w:t>PI 1-4</w:t>
            </w:r>
          </w:p>
        </w:tc>
        <w:tc>
          <w:tcPr>
            <w:tcW w:type="dxa" w:w="2851"/>
            <w:shd w:fill="C9B45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14181C"/>
                <w:sz w:val="16"/>
              </w:rPr>
              <w:t>Moderate</w:t>
              <w:br/>
            </w:r>
            <w:r>
              <w:rPr>
                <w:rFonts w:ascii="Courier New" w:hAnsi="Courier New"/>
                <w:color w:val="14181C"/>
                <w:sz w:val="15"/>
              </w:rPr>
              <w:t>PI 5-9</w:t>
            </w:r>
          </w:p>
        </w:tc>
        <w:tc>
          <w:tcPr>
            <w:tcW w:type="dxa" w:w="2851"/>
            <w:shd w:fill="D08C3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14181C"/>
                <w:sz w:val="16"/>
              </w:rPr>
              <w:t>Elevated</w:t>
              <w:br/>
            </w:r>
            <w:r>
              <w:rPr>
                <w:rFonts w:ascii="Courier New" w:hAnsi="Courier New"/>
                <w:color w:val="14181C"/>
                <w:sz w:val="15"/>
              </w:rPr>
              <w:t>PI 10-14</w:t>
            </w:r>
          </w:p>
        </w:tc>
        <w:tc>
          <w:tcPr>
            <w:tcW w:type="dxa" w:w="2851"/>
            <w:shd w:fill="C0552B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14181C"/>
                <w:sz w:val="16"/>
              </w:rPr>
              <w:t>High</w:t>
              <w:br/>
            </w:r>
            <w:r>
              <w:rPr>
                <w:rFonts w:ascii="Courier New" w:hAnsi="Courier New"/>
                <w:color w:val="14181C"/>
                <w:sz w:val="15"/>
              </w:rPr>
              <w:t>PI 15-19</w:t>
            </w:r>
          </w:p>
        </w:tc>
        <w:tc>
          <w:tcPr>
            <w:tcW w:type="dxa" w:w="2851"/>
            <w:shd w:fill="8E2B2B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14181C"/>
                <w:sz w:val="16"/>
              </w:rPr>
              <w:t>Critical</w:t>
              <w:br/>
            </w:r>
            <w:r>
              <w:rPr>
                <w:rFonts w:ascii="Courier New" w:hAnsi="Courier New"/>
                <w:color w:val="14181C"/>
                <w:sz w:val="15"/>
              </w:rPr>
              <w:t>PI 20-25</w:t>
            </w:r>
          </w:p>
        </w:tc>
      </w:tr>
    </w:tbl>
    <w:p/>
    <w:p>
      <w:pPr>
        <w:spacing w:before="80" w:after="60"/>
      </w:pPr>
      <w:r>
        <w:rPr>
          <w:rFonts w:ascii="Georgia" w:hAnsi="Georgia"/>
          <w:b/>
          <w:color w:val="0C2340"/>
          <w:sz w:val="28"/>
        </w:rPr>
        <w:t>Key Risk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E3E6EA"/>
          <w:left w:val="single" w:sz="6" w:space="0" w:color="E3E6EA"/>
          <w:bottom w:val="single" w:sz="6" w:space="0" w:color="E3E6EA"/>
          <w:right w:val="single" w:sz="6" w:space="0" w:color="E3E6EA"/>
          <w:insideH w:val="single" w:sz="6" w:space="0" w:color="E3E6EA"/>
          <w:insideV w:val="single" w:sz="6" w:space="0" w:color="E3E6EA"/>
        </w:tblBorders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c>
          <w:tcPr>
            <w:tcW w:type="dxa" w:w="1080"/>
            <w:shd w:fill="0C23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ID</w:t>
            </w:r>
          </w:p>
        </w:tc>
        <w:tc>
          <w:tcPr>
            <w:tcW w:type="dxa" w:w="1224"/>
            <w:shd w:fill="0C23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Band</w:t>
            </w:r>
          </w:p>
        </w:tc>
        <w:tc>
          <w:tcPr>
            <w:tcW w:type="dxa" w:w="2088"/>
            <w:shd w:fill="0C23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Risk Area</w:t>
            </w:r>
          </w:p>
        </w:tc>
        <w:tc>
          <w:tcPr>
            <w:tcW w:type="dxa" w:w="3384"/>
            <w:shd w:fill="0C23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Assessment Observation</w:t>
            </w:r>
          </w:p>
        </w:tc>
        <w:tc>
          <w:tcPr>
            <w:tcW w:type="dxa" w:w="3240"/>
            <w:shd w:fill="0C23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Business / Security Impact</w:t>
            </w:r>
          </w:p>
        </w:tc>
        <w:tc>
          <w:tcPr>
            <w:tcW w:type="dxa" w:w="3528"/>
            <w:shd w:fill="0C23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Recommended Next Step</w:t>
            </w:r>
          </w:p>
        </w:tc>
        <w:tc>
          <w:tcPr>
            <w:tcW w:type="dxa" w:w="1944"/>
            <w:shd w:fill="0C23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Owner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RISK-001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8E2B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Critical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Legacy SQL Server platform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SQL Server 2008 R2 was identified as end-of-life and no longer receives regular security updates.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Unsupported systems expand exposure to known vulnerabilities and limit secure remediation options.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Develop an upgrade and migration plan to a supported SQL Server version; validate and back up data before migration.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IT / Infrastructure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RISK-002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8E2B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Critical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Missing SQL Server security update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The assessment materials identify Microsoft SQL Server multiple vulnerabilities, including missing critical update MS15-058.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Potential remote code execution and privilege escalation exposure on an unsupported platform.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Prioritize platform modernization because patching is not a viable long-term remediation path on the unsupported legacy system.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IT / Infrastructure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RISK-003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8E2B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Critical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HTTP.sys remote code execution exposure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The vulnerability review identified MS15-034 HTTP.sys remote code execution risk on legacy Windows Server infrastructure.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Kernel-level HTTP processing weaknesses may expose systems to severe compromise risk.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Plan migration to a supported Windows Server version and validate secure web service configuration after migration.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Systems Engineering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RISK-004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C055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High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Default credential exposure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OpenVAS findings identified SMB brute-force logins using default credentials such as admin:guest and NAS-related defaults.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Default credentials reduce accountability and increase the likelihood of unauthorized access.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Change default passwords, review authentication configurations, strengthen password policy, and perform credential hygiene review.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Identity / IT Security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RISK-005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C055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High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Legacy VPN authentication model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The legacy VPN relied on username and password authentication and did not demonstrate consistent MFA or granular role-based access.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Remote users may receive broader access than necessary, increasing exposure from compromised credentials.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Review remote access architecture, enforce MFA where appropriate, and align access to least privilege.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Network Security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RISK-006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C055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High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Privileged access misalignment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Standard user accounts, department director accounts, and administrative access were not consistently separated from privileged functions.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Excessive privileges can weaken accountability and increase impact if accounts are misused or compromised.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Separate standard and administrative accounts; review Domain Administrators membership; conduct recurring privileged access reviews.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IAM / Security Governance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RISK-007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C055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High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Common local administrator account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System administrators used a common local administrator account with a consistent password across workstations and laptops.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Shared credentials reduce traceability and may allow broad compromise across endpoints.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Replace shared administrative practices with unique, accountable privileged access controls and password governance.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Endpoint / IT Operations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RISK-008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C0552B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High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Vendor and contractor remote access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Multiple vendors and contractors accessed systems through the legacy VPN, with limited evidence of segmentation or role-specific access.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Third-party connectivity may introduce unnecessary access paths to sensitive systems.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Document business justification, segment vendor access, review permissions periodically, and maintain third-party access evidence.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Third-Party Risk / IT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RISK-009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D08C34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Elevated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BYOD access control uncertainty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Employees accessed email, collaboration tools, and web applications from personal devices without a clearly documented MFA policy.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Personal device access may increase risk if authentication and device controls are inconsistent.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Review BYOD access requirements, confirm MFA coverage, and document acceptable remote access practices.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Security Governance / IT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RISK-010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D08C34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Elevated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File access governance gaps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Cloud file-management defaults and on-premise mapped drives allowed broad visibility or access unless owners restricted permissions.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Broad access defaults may expose data beyond business need and weaken centralized access governance.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Centralize file access controls, reduce default visibility, and perform periodic permission reviews.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Data Owners / IAM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RISK-011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D08C34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Elevated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Weak certificate signature algorithms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The vulnerability review identified SSL/TLS certificates signed with weak hashing algorithms such as SHA-1 or MD5.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Weak certificate chains may undermine cryptographic trust and modern browser/service expectations.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Reissue certificates using SHA-2 or stronger algorithms and schedule recurring certificate chain reviews.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Infrastructure / Security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RISK-012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C9B458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Moderate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TCP timestamp exposure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The vulnerability review identified TCP timestamps that could reveal system uptime information.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Attackers may use uptime indicators to profile hosts and plan targeted activity.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Review TCP timestamp configuration and disable where appropriate based on system requirements.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8F8F5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Network / Systems</w:t>
            </w:r>
          </w:p>
        </w:tc>
      </w:tr>
      <w:tr>
        <w:tc>
          <w:tcPr>
            <w:tcW w:type="dxa" w:w="108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Courier New" w:hAnsi="Courier New"/>
                <w:b/>
                <w:color w:val="14181C"/>
                <w:sz w:val="15"/>
              </w:rPr>
              <w:t>RISK-013</w:t>
            </w:r>
          </w:p>
        </w:tc>
        <w:tc>
          <w:tcPr>
            <w:tcW w:type="dxa" w:w="122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D08C34"/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4181C"/>
                <w:sz w:val="15"/>
              </w:rPr>
              <w:t>Elevated</w:t>
            </w:r>
          </w:p>
        </w:tc>
        <w:tc>
          <w:tcPr>
            <w:tcW w:type="dxa" w:w="208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b/>
                <w:color w:val="14181C"/>
                <w:sz w:val="15"/>
              </w:rPr>
              <w:t>Job-role leakage and inconsistent training</w:t>
            </w:r>
          </w:p>
        </w:tc>
        <w:tc>
          <w:tcPr>
            <w:tcW w:type="dxa" w:w="338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The enterprise assessment approach identified inconsistent training and job-role leakage as recurring organizational risks.</w:t>
            </w:r>
          </w:p>
        </w:tc>
        <w:tc>
          <w:tcPr>
            <w:tcW w:type="dxa" w:w="3240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Access can become misaligned when personnel move between roles without timely permissions review.</w:t>
            </w:r>
          </w:p>
        </w:tc>
        <w:tc>
          <w:tcPr>
            <w:tcW w:type="dxa" w:w="3528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left"/>
            </w:pPr>
            <w:r>
              <w:rPr>
                <w:rFonts w:ascii="Aptos" w:hAnsi="Aptos"/>
                <w:color w:val="14181C"/>
                <w:sz w:val="14"/>
              </w:rPr>
              <w:t>Strengthen SOPs, role-change access reviews, and consistent user training practices.</w:t>
            </w:r>
          </w:p>
        </w:tc>
        <w:tc>
          <w:tcPr>
            <w:tcW w:type="dxa" w:w="1944"/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  <w:shd w:fill="FFFFFF"/>
          </w:tcPr>
          <w:p>
            <w:pPr>
              <w:spacing w:after="0"/>
              <w:jc w:val="center"/>
            </w:pPr>
            <w:r>
              <w:rPr>
                <w:rFonts w:ascii="Aptos" w:hAnsi="Aptos"/>
                <w:color w:val="14181C"/>
                <w:sz w:val="15"/>
              </w:rPr>
              <w:t>Security Governance / HR / Managers</w:t>
            </w:r>
          </w:p>
        </w:tc>
      </w:tr>
    </w:tbl>
    <w:p>
      <w:pPr>
        <w:spacing w:before="160" w:after="40"/>
      </w:pPr>
      <w:r>
        <w:rPr>
          <w:rFonts w:ascii="Georgia" w:hAnsi="Georgia"/>
          <w:b/>
          <w:color w:val="0C2340"/>
          <w:sz w:val="24"/>
        </w:rPr>
        <w:t>Portfolio Use Note</w:t>
      </w:r>
    </w:p>
    <w:p>
      <w:pPr>
        <w:spacing w:after="20"/>
        <w:ind w:left="259"/>
      </w:pPr>
      <w:r>
        <w:rPr>
          <w:sz w:val="17"/>
        </w:rPr>
        <w:t>• This document should be presented as a scenario-based portfolio artifact, not as a real client engagement.</w:t>
      </w:r>
    </w:p>
    <w:p>
      <w:pPr>
        <w:spacing w:after="20"/>
        <w:ind w:left="259"/>
      </w:pPr>
      <w:r>
        <w:rPr>
          <w:sz w:val="17"/>
        </w:rPr>
        <w:t>• Detailed academic worksheets, vulnerability scan outputs, and assignment materials should remain private supporting evidence.</w:t>
      </w:r>
    </w:p>
    <w:p>
      <w:pPr>
        <w:spacing w:after="20"/>
        <w:ind w:left="259"/>
      </w:pPr>
      <w:r>
        <w:rPr>
          <w:sz w:val="17"/>
        </w:rPr>
        <w:t>• Public portfolio content should include the executive summary, summarized risk themes, recommendations, business impact, and skills demonstrated.</w:t>
      </w:r>
    </w:p>
    <w:sectPr w:rsidR="00FC693F" w:rsidRPr="0006063C" w:rsidSect="00034616">
      <w:footerReference w:type="default" r:id="rId9"/>
      <w:pgSz w:w="15840" w:h="12240" w:orient="landscape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B6B7C"/>
        <w:sz w:val="16"/>
      </w:rPr>
      <w:t>AEGIS QUANTUM TRUST  |  Governance • Risk • Compliance  |  Protecting what comes next.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4181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0C23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0C234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0C23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Cybersecurity Audit and Assessment Playbook - Key Risk Summary</dc:title>
  <dc:subject>Scenario-based GRC portfolio artifact</dc:subject>
  <dc:creator>Aegis Quantum Trust Portfolio</dc:creator>
  <cp:keywords/>
  <dc:description>Fictional portfolio case study based on academic/source materials.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