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0" w:space="0" w:color="F4F2EC"/>
          <w:left w:val="single" w:sz="0" w:space="0" w:color="F4F2EC"/>
          <w:bottom w:val="single" w:sz="0" w:space="0" w:color="F4F2EC"/>
          <w:right w:val="single" w:sz="0" w:space="0" w:color="F4F2EC"/>
          <w:insideH w:val="single" w:sz="0" w:space="0" w:color="F4F2EC"/>
          <w:insideV w:val="single" w:sz="0" w:space="0" w:color="F4F2EC"/>
        </w:tblBorders>
      </w:tblPr>
      <w:tblGrid>
        <w:gridCol w:w="7416"/>
        <w:gridCol w:w="7416"/>
      </w:tblGrid>
      <w:tr>
        <w:tc>
          <w:tcPr>
            <w:tcW w:type="dxa" w:w="1584"/>
            <w:shd w:fill="0C2340"/>
            <w:tcMar>
              <w:top w:w="120" w:type="dxa"/>
              <w:start w:w="120" w:type="dxa"/>
              <w:bottom w:w="120" w:type="dxa"/>
              <w:end w:w="120" w:type="dxa"/>
            </w:tcMar>
            <w:vAlign w:val="center"/>
          </w:tcPr>
          <w:p>
            <w:pPr>
              <w:jc w:val="center"/>
            </w:pPr>
            <w:r>
              <w:rPr>
                <w:rFonts w:ascii="Georgia" w:hAnsi="Georgia"/>
                <w:b/>
                <w:color w:val="FFFFFF"/>
                <w:sz w:val="48"/>
              </w:rPr>
              <w:t>AQT</w:t>
            </w:r>
          </w:p>
        </w:tc>
        <w:tc>
          <w:tcPr>
            <w:tcW w:type="dxa" w:w="16416"/>
            <w:shd w:fill="F4F2EC"/>
            <w:tcMar>
              <w:top w:w="120" w:type="dxa"/>
              <w:start w:w="120" w:type="dxa"/>
              <w:bottom w:w="120" w:type="dxa"/>
              <w:end w:w="120" w:type="dxa"/>
            </w:tcMar>
            <w:vAlign w:val="center"/>
          </w:tcPr>
          <w:p>
            <w:r>
              <w:rPr>
                <w:rFonts w:ascii="Georgia" w:hAnsi="Georgia"/>
                <w:b/>
                <w:color w:val="0C2340"/>
                <w:sz w:val="32"/>
              </w:rPr>
              <w:t>A E G I S  Q U A N T U M  T R U S T</w:t>
            </w:r>
          </w:p>
          <w:p>
            <w:r>
              <w:rPr>
                <w:rFonts w:ascii="Aptos" w:hAnsi="Aptos"/>
                <w:i/>
                <w:color w:val="5B6B7C"/>
                <w:sz w:val="17"/>
              </w:rPr>
              <w:t>Governance • Risk • Compliance | Protecting what comes next.</w:t>
            </w:r>
          </w:p>
        </w:tc>
      </w:tr>
    </w:tbl>
    <w:tbl>
      <w:tblPr>
        <w:tblW w:type="auto" w:w="0"/>
        <w:tblLook w:firstColumn="1" w:firstRow="1" w:lastColumn="0" w:lastRow="0" w:noHBand="0" w:noVBand="1" w:val="04A0"/>
        <w:tblBorders>
          <w:top w:val="single" w:sz="0" w:space="0" w:color="C2A24B"/>
          <w:left w:val="single" w:sz="0" w:space="0" w:color="C2A24B"/>
          <w:bottom w:val="single" w:sz="0" w:space="0" w:color="C2A24B"/>
          <w:right w:val="single" w:sz="0" w:space="0" w:color="C2A24B"/>
          <w:insideH w:val="single" w:sz="0" w:space="0" w:color="C2A24B"/>
          <w:insideV w:val="single" w:sz="0" w:space="0" w:color="C2A24B"/>
        </w:tblBorders>
      </w:tblPr>
      <w:tblGrid>
        <w:gridCol w:w="14832"/>
      </w:tblGrid>
      <w:tr>
        <w:tc>
          <w:tcPr>
            <w:tcW w:type="dxa" w:w="14832"/>
            <w:shd w:fill="C2A24B"/>
            <w:tcMar>
              <w:top w:w="3" w:type="dxa"/>
              <w:start w:w="0" w:type="dxa"/>
              <w:bottom w:w="3" w:type="dxa"/>
              <w:end w:w="0" w:type="dxa"/>
            </w:tcMar>
          </w:tcPr>
          <w:p/>
        </w:tc>
      </w:tr>
    </w:tbl>
    <w:p>
      <w:pPr>
        <w:spacing w:before="240" w:after="40"/>
      </w:pPr>
      <w:r>
        <w:rPr>
          <w:rFonts w:ascii="Georgia" w:hAnsi="Georgia"/>
          <w:b/>
          <w:color w:val="0C2340"/>
          <w:sz w:val="40"/>
        </w:rPr>
        <w:t>Access Control Compliance Crosswalk: Technology Operations Governance, Audit Readiness, and Risk-Based Remediation</w:t>
      </w:r>
    </w:p>
    <w:p>
      <w:r>
        <w:rPr>
          <w:rFonts w:ascii="Aptos" w:hAnsi="Aptos"/>
          <w:color w:val="5B6B7C"/>
          <w:sz w:val="19"/>
        </w:rPr>
        <w:t>Scenario-Based Portfolio Case Study | Source-Based GRC Artifact</w:t>
      </w:r>
    </w:p>
    <w:tbl>
      <w:tblPr>
        <w:tblW w:type="auto" w:w="0"/>
        <w:tblLook w:firstColumn="1" w:firstRow="1" w:lastColumn="0" w:lastRow="0" w:noHBand="0" w:noVBand="1" w:val="04A0"/>
        <w:tblBorders>
          <w:top w:val="single" w:sz="8" w:space="0" w:color="C2A24B"/>
          <w:left w:val="single" w:sz="8" w:space="0" w:color="C2A24B"/>
          <w:bottom w:val="single" w:sz="8" w:space="0" w:color="C2A24B"/>
          <w:right w:val="single" w:sz="8" w:space="0" w:color="C2A24B"/>
          <w:insideH w:val="single" w:sz="8" w:space="0" w:color="C2A24B"/>
          <w:insideV w:val="single" w:sz="8" w:space="0" w:color="C2A24B"/>
        </w:tblBorders>
      </w:tblPr>
      <w:tblGrid>
        <w:gridCol w:w="14832"/>
      </w:tblGrid>
      <w:tr>
        <w:tc>
          <w:tcPr>
            <w:tcW w:type="dxa" w:w="14832"/>
            <w:shd w:fill="E3E6EA"/>
            <w:tcMar>
              <w:top w:w="130" w:type="dxa"/>
              <w:start w:w="150" w:type="dxa"/>
              <w:bottom w:w="130" w:type="dxa"/>
              <w:end w:w="150" w:type="dxa"/>
            </w:tcMar>
          </w:tcPr>
          <w:p>
            <w:r>
              <w:rPr>
                <w:rFonts w:ascii="Georgia" w:hAnsi="Georgia"/>
                <w:b/>
                <w:color w:val="0C2340"/>
                <w:sz w:val="26"/>
              </w:rPr>
              <w:t>Executive Summary</w:t>
            </w:r>
          </w:p>
          <w:p>
            <w:r>
              <w:rPr>
                <w:rFonts w:ascii="Aptos" w:hAnsi="Aptos"/>
                <w:color w:val="14181C"/>
                <w:sz w:val="19"/>
              </w:rPr>
              <w:t>This professional GRC portfolio artifact translates source access control compliance findings into governance-ready language. It demonstrates access control review, control mapping, evidence planning, audit readiness, and risk-based remediation prioritization while preserving the source compliance status and avoiding implementation claims. The document is framed as a scenario-based case study based on academic/source material, not as a real client engagement.</w:t>
            </w:r>
          </w:p>
        </w:tc>
      </w:tr>
    </w:tbl>
    <w:p>
      <w:pPr>
        <w:spacing w:before="200" w:after="80"/>
      </w:pPr>
      <w:r>
        <w:rPr>
          <w:rFonts w:ascii="Georgia" w:hAnsi="Georgia"/>
          <w:b/>
          <w:color w:val="0C2340"/>
          <w:sz w:val="32"/>
        </w:rPr>
        <w:t>1. Scenario</w:t>
      </w:r>
    </w:p>
    <w:p>
      <w:pPr>
        <w:spacing w:after="100" w:line="252" w:lineRule="auto"/>
      </w:pPr>
      <w:r>
        <w:rPr>
          <w:rFonts w:ascii="Aptos" w:hAnsi="Aptos"/>
          <w:color w:val="14181C"/>
          <w:sz w:val="19"/>
        </w:rPr>
        <w:t>The source material describes a Grey Matter access control compliance assessment involving Grey Matter operations and the legacy BrainMeld environment. The source includes findings related to employee access, a legacy BrainMeld VPN service, system administrator access, web application access, and file services access. This portfolio version uses that source context as a simulated case study and does not add new organizational facts beyond the source material.</w:t>
      </w:r>
    </w:p>
    <w:p>
      <w:pPr>
        <w:spacing w:before="200" w:after="80"/>
      </w:pPr>
      <w:r>
        <w:rPr>
          <w:rFonts w:ascii="Georgia" w:hAnsi="Georgia"/>
          <w:b/>
          <w:color w:val="0C2340"/>
          <w:sz w:val="32"/>
        </w:rPr>
        <w:t>2. Purpose of the Crosswalk</w:t>
      </w:r>
    </w:p>
    <w:p>
      <w:pPr>
        <w:spacing w:after="100" w:line="252" w:lineRule="auto"/>
      </w:pPr>
      <w:r>
        <w:rPr>
          <w:rFonts w:ascii="Aptos" w:hAnsi="Aptos"/>
          <w:color w:val="14181C"/>
          <w:sz w:val="19"/>
        </w:rPr>
        <w:t>The purpose of this crosswalk is to connect technical access findings to governance categories, control themes, evidence needs, and remediation planning. The table preserves source control references where stated, uses “Suggested for future polish” when a mapping is interpretive, and marks “Not stated in source” when the source does not provide a detail.</w:t>
      </w:r>
    </w:p>
    <w:p>
      <w:pPr>
        <w:spacing w:before="200" w:after="80"/>
      </w:pPr>
      <w:r>
        <w:rPr>
          <w:rFonts w:ascii="Georgia" w:hAnsi="Georgia"/>
          <w:b/>
          <w:color w:val="0C2340"/>
          <w:sz w:val="32"/>
        </w:rPr>
        <w:t>3. Assessment Areas Reviewed</w:t>
      </w:r>
    </w:p>
    <w:p>
      <w:pPr>
        <w:spacing w:after="40"/>
        <w:ind w:left="288" w:hanging="173"/>
      </w:pPr>
      <w:r>
        <w:rPr>
          <w:rFonts w:ascii="Aptos" w:hAnsi="Aptos"/>
          <w:color w:val="14181C"/>
          <w:sz w:val="18"/>
        </w:rPr>
        <w:t>• Employee Access</w:t>
      </w:r>
    </w:p>
    <w:p>
      <w:pPr>
        <w:spacing w:after="40"/>
        <w:ind w:left="288" w:hanging="173"/>
      </w:pPr>
      <w:r>
        <w:rPr>
          <w:rFonts w:ascii="Aptos" w:hAnsi="Aptos"/>
          <w:color w:val="14181C"/>
          <w:sz w:val="18"/>
        </w:rPr>
        <w:t>• Legacy VPN Service</w:t>
      </w:r>
    </w:p>
    <w:p>
      <w:pPr>
        <w:spacing w:after="40"/>
        <w:ind w:left="288" w:hanging="173"/>
      </w:pPr>
      <w:r>
        <w:rPr>
          <w:rFonts w:ascii="Aptos" w:hAnsi="Aptos"/>
          <w:color w:val="14181C"/>
          <w:sz w:val="18"/>
        </w:rPr>
        <w:t>• System Administrator Access</w:t>
      </w:r>
    </w:p>
    <w:p>
      <w:pPr>
        <w:spacing w:after="40"/>
        <w:ind w:left="288" w:hanging="173"/>
      </w:pPr>
      <w:r>
        <w:rPr>
          <w:rFonts w:ascii="Aptos" w:hAnsi="Aptos"/>
          <w:color w:val="14181C"/>
          <w:sz w:val="18"/>
        </w:rPr>
        <w:t>• Web Application Access</w:t>
      </w:r>
    </w:p>
    <w:p>
      <w:pPr>
        <w:spacing w:after="40"/>
        <w:ind w:left="288" w:hanging="173"/>
      </w:pPr>
      <w:r>
        <w:rPr>
          <w:rFonts w:ascii="Aptos" w:hAnsi="Aptos"/>
          <w:color w:val="14181C"/>
          <w:sz w:val="18"/>
        </w:rPr>
        <w:t>• File Services Access</w:t>
      </w:r>
    </w:p>
    <w:p>
      <w:pPr>
        <w:spacing w:before="200" w:after="80"/>
      </w:pPr>
      <w:r>
        <w:rPr>
          <w:rFonts w:ascii="Georgia" w:hAnsi="Georgia"/>
          <w:b/>
          <w:color w:val="0C2340"/>
          <w:sz w:val="32"/>
        </w:rPr>
        <w:t>4. Control Crosswalk Table</w:t>
      </w:r>
    </w:p>
    <w:p>
      <w:pPr>
        <w:spacing w:after="100" w:line="252" w:lineRule="auto"/>
      </w:pPr>
      <w:r>
        <w:rPr>
          <w:rFonts w:ascii="Aptos" w:hAnsi="Aptos"/>
          <w:color w:val="14181C"/>
          <w:sz w:val="19"/>
        </w:rPr>
        <w:t>Note: NIST CSF-style functions and Technology Operations Governance categories below are portfolio framing aids. They are not presented as formal framework mapping unless supported by the source. When a detail is not stated in the source, the table labels it accordingly.</w:t>
      </w:r>
    </w:p>
    <w:tbl>
      <w:tblPr>
        <w:tblW w:type="auto" w:w="0"/>
        <w:jc w:val="center"/>
        <w:tblLayout w:type="fixed"/>
        <w:tblLook w:firstColumn="1" w:firstRow="1" w:lastColumn="0" w:lastRow="0" w:noHBand="0" w:noVBand="1" w:val="04A0"/>
        <w:tblBorders>
          <w:top w:val="single" w:sz="4" w:space="0" w:color="E3E6EA"/>
          <w:left w:val="single" w:sz="4" w:space="0" w:color="E3E6EA"/>
          <w:bottom w:val="single" w:sz="4" w:space="0" w:color="E3E6EA"/>
          <w:right w:val="single" w:sz="4" w:space="0" w:color="E3E6EA"/>
          <w:insideH w:val="single" w:sz="4" w:space="0" w:color="E3E6EA"/>
          <w:insideV w:val="single" w:sz="4" w:space="0" w:color="E3E6EA"/>
        </w:tblBorders>
      </w:tblPr>
      <w:tblGrid>
        <w:gridCol w:w="1236"/>
        <w:gridCol w:w="1236"/>
        <w:gridCol w:w="1236"/>
        <w:gridCol w:w="1236"/>
        <w:gridCol w:w="1236"/>
        <w:gridCol w:w="1236"/>
        <w:gridCol w:w="1236"/>
        <w:gridCol w:w="1236"/>
        <w:gridCol w:w="1236"/>
        <w:gridCol w:w="1236"/>
        <w:gridCol w:w="1236"/>
        <w:gridCol w:w="1236"/>
      </w:tblGrid>
      <w:tr>
        <w:tc>
          <w:tcPr>
            <w:tcW w:type="dxa" w:w="792"/>
            <w:shd w:fill="0C2340"/>
            <w:tcMar>
              <w:top w:w="70" w:type="dxa"/>
              <w:start w:w="40" w:type="dxa"/>
              <w:bottom w:w="70" w:type="dxa"/>
              <w:end w:w="40" w:type="dxa"/>
            </w:tcMar>
            <w:vAlign w:val="center"/>
          </w:tcPr>
          <w:p>
            <w:pPr>
              <w:jc w:val="center"/>
            </w:pPr>
            <w:r>
              <w:rPr>
                <w:rFonts w:ascii="Aptos" w:hAnsi="Aptos"/>
                <w:b/>
                <w:color w:val="FFFFFF"/>
                <w:sz w:val="12"/>
              </w:rPr>
              <w:t>Finding ID</w:t>
            </w:r>
          </w:p>
        </w:tc>
        <w:tc>
          <w:tcPr>
            <w:tcW w:type="dxa" w:w="1080"/>
            <w:shd w:fill="0C2340"/>
            <w:tcMar>
              <w:top w:w="70" w:type="dxa"/>
              <w:start w:w="40" w:type="dxa"/>
              <w:bottom w:w="70" w:type="dxa"/>
              <w:end w:w="40" w:type="dxa"/>
            </w:tcMar>
            <w:vAlign w:val="center"/>
          </w:tcPr>
          <w:p>
            <w:pPr>
              <w:jc w:val="center"/>
            </w:pPr>
            <w:r>
              <w:rPr>
                <w:rFonts w:ascii="Aptos" w:hAnsi="Aptos"/>
                <w:b/>
                <w:color w:val="FFFFFF"/>
                <w:sz w:val="12"/>
              </w:rPr>
              <w:t>Source Area</w:t>
            </w:r>
          </w:p>
        </w:tc>
        <w:tc>
          <w:tcPr>
            <w:tcW w:type="dxa" w:w="2088"/>
            <w:shd w:fill="0C2340"/>
            <w:tcMar>
              <w:top w:w="70" w:type="dxa"/>
              <w:start w:w="40" w:type="dxa"/>
              <w:bottom w:w="70" w:type="dxa"/>
              <w:end w:w="40" w:type="dxa"/>
            </w:tcMar>
            <w:vAlign w:val="center"/>
          </w:tcPr>
          <w:p>
            <w:pPr>
              <w:jc w:val="center"/>
            </w:pPr>
            <w:r>
              <w:rPr>
                <w:rFonts w:ascii="Aptos" w:hAnsi="Aptos"/>
                <w:b/>
                <w:color w:val="FFFFFF"/>
                <w:sz w:val="12"/>
              </w:rPr>
              <w:t>Finding / Condition</w:t>
            </w:r>
          </w:p>
        </w:tc>
        <w:tc>
          <w:tcPr>
            <w:tcW w:type="dxa" w:w="820"/>
            <w:shd w:fill="0C2340"/>
            <w:tcMar>
              <w:top w:w="70" w:type="dxa"/>
              <w:start w:w="40" w:type="dxa"/>
              <w:bottom w:w="70" w:type="dxa"/>
              <w:end w:w="40" w:type="dxa"/>
            </w:tcMar>
            <w:vAlign w:val="center"/>
          </w:tcPr>
          <w:p>
            <w:pPr>
              <w:jc w:val="center"/>
            </w:pPr>
            <w:r>
              <w:rPr>
                <w:rFonts w:ascii="Aptos" w:hAnsi="Aptos"/>
                <w:b/>
                <w:color w:val="FFFFFF"/>
                <w:sz w:val="12"/>
              </w:rPr>
              <w:t>Compliance Status</w:t>
            </w:r>
          </w:p>
        </w:tc>
        <w:tc>
          <w:tcPr>
            <w:tcW w:type="dxa" w:w="1800"/>
            <w:shd w:fill="0C2340"/>
            <w:tcMar>
              <w:top w:w="70" w:type="dxa"/>
              <w:start w:w="40" w:type="dxa"/>
              <w:bottom w:w="70" w:type="dxa"/>
              <w:end w:w="40" w:type="dxa"/>
            </w:tcMar>
            <w:vAlign w:val="center"/>
          </w:tcPr>
          <w:p>
            <w:pPr>
              <w:jc w:val="center"/>
            </w:pPr>
            <w:r>
              <w:rPr>
                <w:rFonts w:ascii="Aptos" w:hAnsi="Aptos"/>
                <w:b/>
                <w:color w:val="FFFFFF"/>
                <w:sz w:val="12"/>
              </w:rPr>
              <w:t>Control Issue</w:t>
            </w:r>
          </w:p>
        </w:tc>
        <w:tc>
          <w:tcPr>
            <w:tcW w:type="dxa" w:w="1224"/>
            <w:shd w:fill="0C2340"/>
            <w:tcMar>
              <w:top w:w="70" w:type="dxa"/>
              <w:start w:w="40" w:type="dxa"/>
              <w:bottom w:w="70" w:type="dxa"/>
              <w:end w:w="40" w:type="dxa"/>
            </w:tcMar>
            <w:vAlign w:val="center"/>
          </w:tcPr>
          <w:p>
            <w:pPr>
              <w:jc w:val="center"/>
            </w:pPr>
            <w:r>
              <w:rPr>
                <w:rFonts w:ascii="Aptos" w:hAnsi="Aptos"/>
                <w:b/>
                <w:color w:val="FFFFFF"/>
                <w:sz w:val="12"/>
              </w:rPr>
              <w:t>Source Control Reference</w:t>
            </w:r>
          </w:p>
        </w:tc>
        <w:tc>
          <w:tcPr>
            <w:tcW w:type="dxa" w:w="1368"/>
            <w:shd w:fill="0C2340"/>
            <w:tcMar>
              <w:top w:w="70" w:type="dxa"/>
              <w:start w:w="40" w:type="dxa"/>
              <w:bottom w:w="70" w:type="dxa"/>
              <w:end w:w="40" w:type="dxa"/>
            </w:tcMar>
            <w:vAlign w:val="center"/>
          </w:tcPr>
          <w:p>
            <w:pPr>
              <w:jc w:val="center"/>
            </w:pPr>
            <w:r>
              <w:rPr>
                <w:rFonts w:ascii="Aptos" w:hAnsi="Aptos"/>
                <w:b/>
                <w:color w:val="FFFFFF"/>
                <w:sz w:val="12"/>
              </w:rPr>
              <w:t>Control Theme</w:t>
            </w:r>
          </w:p>
        </w:tc>
        <w:tc>
          <w:tcPr>
            <w:tcW w:type="dxa" w:w="1224"/>
            <w:shd w:fill="0C2340"/>
            <w:tcMar>
              <w:top w:w="70" w:type="dxa"/>
              <w:start w:w="40" w:type="dxa"/>
              <w:bottom w:w="70" w:type="dxa"/>
              <w:end w:w="40" w:type="dxa"/>
            </w:tcMar>
            <w:vAlign w:val="center"/>
          </w:tcPr>
          <w:p>
            <w:pPr>
              <w:jc w:val="center"/>
            </w:pPr>
            <w:r>
              <w:rPr>
                <w:rFonts w:ascii="Aptos" w:hAnsi="Aptos"/>
                <w:b/>
                <w:color w:val="FFFFFF"/>
                <w:sz w:val="12"/>
              </w:rPr>
              <w:t>NIST CSF-Style Function</w:t>
            </w:r>
          </w:p>
        </w:tc>
        <w:tc>
          <w:tcPr>
            <w:tcW w:type="dxa" w:w="1612"/>
            <w:shd w:fill="0C2340"/>
            <w:tcMar>
              <w:top w:w="70" w:type="dxa"/>
              <w:start w:w="40" w:type="dxa"/>
              <w:bottom w:w="70" w:type="dxa"/>
              <w:end w:w="40" w:type="dxa"/>
            </w:tcMar>
            <w:vAlign w:val="center"/>
          </w:tcPr>
          <w:p>
            <w:pPr>
              <w:jc w:val="center"/>
            </w:pPr>
            <w:r>
              <w:rPr>
                <w:rFonts w:ascii="Aptos" w:hAnsi="Aptos"/>
                <w:b/>
                <w:color w:val="FFFFFF"/>
                <w:sz w:val="12"/>
              </w:rPr>
              <w:t>Technology Operations Governance Category</w:t>
            </w:r>
          </w:p>
        </w:tc>
        <w:tc>
          <w:tcPr>
            <w:tcW w:type="dxa" w:w="1944"/>
            <w:shd w:fill="0C2340"/>
            <w:tcMar>
              <w:top w:w="70" w:type="dxa"/>
              <w:start w:w="40" w:type="dxa"/>
              <w:bottom w:w="70" w:type="dxa"/>
              <w:end w:w="40" w:type="dxa"/>
            </w:tcMar>
            <w:vAlign w:val="center"/>
          </w:tcPr>
          <w:p>
            <w:pPr>
              <w:jc w:val="center"/>
            </w:pPr>
            <w:r>
              <w:rPr>
                <w:rFonts w:ascii="Aptos" w:hAnsi="Aptos"/>
                <w:b/>
                <w:color w:val="FFFFFF"/>
                <w:sz w:val="12"/>
              </w:rPr>
              <w:t>Evidence Needed</w:t>
            </w:r>
          </w:p>
        </w:tc>
        <w:tc>
          <w:tcPr>
            <w:tcW w:type="dxa" w:w="1944"/>
            <w:shd w:fill="0C2340"/>
            <w:tcMar>
              <w:top w:w="70" w:type="dxa"/>
              <w:start w:w="40" w:type="dxa"/>
              <w:bottom w:w="70" w:type="dxa"/>
              <w:end w:w="40" w:type="dxa"/>
            </w:tcMar>
            <w:vAlign w:val="center"/>
          </w:tcPr>
          <w:p>
            <w:pPr>
              <w:jc w:val="center"/>
            </w:pPr>
            <w:r>
              <w:rPr>
                <w:rFonts w:ascii="Aptos" w:hAnsi="Aptos"/>
                <w:b/>
                <w:color w:val="FFFFFF"/>
                <w:sz w:val="12"/>
              </w:rPr>
              <w:t>Recommended Remediation</w:t>
            </w:r>
          </w:p>
        </w:tc>
        <w:tc>
          <w:tcPr>
            <w:tcW w:type="dxa" w:w="1843"/>
            <w:shd w:fill="0C2340"/>
            <w:tcMar>
              <w:top w:w="70" w:type="dxa"/>
              <w:start w:w="40" w:type="dxa"/>
              <w:bottom w:w="70" w:type="dxa"/>
              <w:end w:w="40" w:type="dxa"/>
            </w:tcMar>
            <w:vAlign w:val="center"/>
          </w:tcPr>
          <w:p>
            <w:pPr>
              <w:jc w:val="center"/>
            </w:pPr>
            <w:r>
              <w:rPr>
                <w:rFonts w:ascii="Aptos" w:hAnsi="Aptos"/>
                <w:b/>
                <w:color w:val="FFFFFF"/>
                <w:sz w:val="12"/>
              </w:rPr>
              <w:t>Portfolio Note</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ACF-01</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Employee Access</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Employees authenticate to laptops/workstations using Grey Matter Active Directory domain credentials and have local administrator rights.</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Primary domain credentials have local administrator rights; administrative access is not separated.</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AC-3; AC-4; AC-5</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Privileged access; administrative separation; dedicated workstations</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Identity &amp; Access Operations Governance; Operational Evidence &amp; Audit Readiness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endpoint local admin inventory, AD group membership export, privileged account policy, dedicated workstation evidence.</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Require separate administrative accounts and remove local administrator rights from standard domain credentials.</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Source identifies noncompliance; portfolio version translates the issue into privileged access governance language.</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ACF-02</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Employee Access</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Employees use personal smartphones or other mobile devices to access email, collaboration tools, and web application services.</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MFA and encrypted remote access are not confirmed for BYOD access to systems housing sensitive data.</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AC-3</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Remote access authentication; BYOD access governance</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Identity &amp; Access Operations Governance; Vendor &amp; SaaS Operations Governance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BYOD policy, MFA configuration evidence, mobile access logs, conditional access rules.</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Require MFA and encrypted channels for remote access from personal devices.</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Control gap is framed as BYOD and remote access governance rather than device management implementation.</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ACF-03</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Legacy VPN Service</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VPN service is integrated on the office firewall and uses username/password authentication.</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Username/password remote access lacks demonstrated MFA, granular RBAC, detailed logging, and monitoring.</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AC-3; AC-9; AC-8</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Remote access security; least privilege; monitoring</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 / Detect</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Identity &amp; Access Operations Governance; Monitoring &amp; Incident Readiness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VPN configuration, MFA settings, access profiles, failed-login alerting evidence, VPN logs.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Require MFA, role-based access, and logging/alerting for remote access.</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Source states the VPN setup limits stronger controls; no implementation is claimed.</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ACF-04</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Legacy VPN Service</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Users request accounts from the local IT team, which creates VPN-only accounts and passwords.</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VPN account creation relies on username/password access without MFA.</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AC-3</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Account provisioning; remote access authentication</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Identity &amp; Access Operations Governance; IT Service Management Governance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VPN account request records, approval workflow, MFA configuration, account lifecycle evidence.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Enforce MFA for all remote access methods.</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Portfolio framing emphasizes request/provisioning governance and audit-ready evidence.</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ACF-05</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Legacy VPN Service</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All authenticated users receive the same level of network access.</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Same-level network access violates role-based access and least privilege.</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AC-9</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RBAC; least privilege; network segmentation</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Identity &amp; Access Operations Governance; Change &amp; Configuration Governance</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VPN role matrix, network access profiles, job-role mapping, segmentation rules.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Limit users to the minimum network access needed for job duties.</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Finding remains a control gap; the crosswalk does not claim segmentation was implemented.</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ACF-06</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Legacy VPN Service</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Employees use the legacy BrainMeld VPN to access internal services from home or other remote locations.</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No evidence of MFA on the legacy VPN or dedicated segmented workstations for remote access.</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AC-3; AC-5</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Remote access security; dedicated administration environments</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Identity &amp; Access Operations Governance; Operational Evidence &amp; Audit Readiness</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VPN MFA settings, remote access policies, dedicated workstation documentation, access logs.</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Protect remote access with MFA and encrypted channels; document dedicated workstation expectations where applicable.</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Source notes absence of evidence; the portfolio version preserves that evidence limitation.</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ACF-07</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Legacy VPN Service</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Administrators on a rotating after-hours support schedule use the legacy BrainMeld VPN for remote access.</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Administrative remote access lacks documented MFA, separate admin accounts, centralized access control, dedicated workstations, and admin login logging.</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AC-3; AC-4; AC-10; AC-5; AC-8</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Privileged remote access; centralized control; logging and accountability</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 / Detect / Govern</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Identity &amp; Access Operations Governance; Monitoring &amp; Incident Readiness; Operational Evidence &amp; Audit Readiness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admin VPN access records, MFA evidence, admin account inventory, directory-service controls, admin login logs, workstation standard.</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Require MFA, separate administrative accounts, centralized directory control, dedicated workstations, and logging for administrative authorization attempts.</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This is one of the strongest audit-readiness examples because multiple evidence gaps are stated in the source.</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ACF-08</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Legacy VPN Service</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Vendors and contractors access systems in the server room through the legacy BrainMeld VPN service.</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External parties appear to have broad access without enforced RBAC or centralized access control.</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AC-9; AC-10</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Third-party access; least privilege; centralized access control</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Govern / Protect</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Vendor &amp; SaaS Operations Governance; Identity &amp; Access Operations Governance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vendor access list, contractor approvals, business justification, access reviews, centralized directory evidence.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Enforce role-based and centralized access control for vendors and contractors; limit access by business need.</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Portfolio version frames this as third-party access governance without adding vendor-risk claims beyond the source.</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ACF-09</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System Administrator Access</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The regular Active Directory accounts for the four system administrators are in the Domain Administrators group.</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Privileged access is tied to regular accounts; unique dedicated admin accounts are not indicated.</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AC-2; AC-3; AC-4</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Privileged account management; accountability; MFA</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Identity &amp; Access Operations Governance; Operational Evidence &amp; Audit Readiness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Domain Admins export, named account inventory, MFA evidence, privileged access policy.</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Use unique dedicated administrative accounts and enforce MFA for privileged access.</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Source explicitly identifies absence of dedicated accounts and MFA evidence.</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ACF-10</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System Administrator Access</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Departmental directors are also in the Domain Administrators group.</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Non-administrative business users hold Domain Administrator privileges without separation of access controls.</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AC-9</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Least privilege; elevated privilege review</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Identity &amp; Access Operations Governance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Domain Admins membership export, role-to-access mapping, exception approvals.</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Remove unnecessary Domain Administrator privileges and align access to job role.</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Business impact is excessive privilege exposure; compliance status remains No.</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ACF-11</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System Administrator Access</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System administrators are provided with company laptops for business and administrative use.</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Yes</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No issue stated in source.</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Not stated in source / NA</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Asset support for administration</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IT Service Management Governance; Operational Evidence &amp; Audit Readiness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asset assignment records and device management evidence if used in a future portfolio version.</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No remediation indicated in source.</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Kept as compliant because the source marks the finding Yes.</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ACF-12</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System Administrator Access</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System administrators use a common local administrator account with a consistent password on all workstations and laptops.</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Shared local administrator credentials reduce accountability; separate administrative accounts and MFA are not demonstrated; password standards are weak.</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AC-4; AC-3; AC-1</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Shared credential risk; privileged access; password governance</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Identity &amp; Access Operations Governance; Change &amp; Configuration Governance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local admin account inventory, password policy, privileged access procedure, endpoint administrator configuration evidence.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Use separate administrative accounts, enforce MFA where applicable, and apply password policy enforcement.</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Source references common admin account and standard password risk; no remediation completion is implied.</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ACF-13</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Web Application Access</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There is no single sign-on service for internal web applications.</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Access to internal web applications is not consistently controlled or scoped by user role.</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AC-9</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Web application access governance; RBAC; SSO</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Identity &amp; Access Operations Governance; Vendor &amp; SaaS Operations Governance</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application inventory, SSO coverage list, role mapping, authentication configuration evidence.</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Govern web application access through role-based controls and consistent access scoping.</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Source does not state an SSO implementation; crosswalk treats this as a governance gap.</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ACF-14</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Web Application Access</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Some web access applications integrate with Active Directory for username/password authentication.</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Yes</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No issue stated in source.</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Not stated in source / NA</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Directory-based authentication</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Identity &amp; Access Operations Governance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application authentication inventory and AD integration evidence.</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No remediation indicated in source.</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Kept as compliant because the source marks the finding Yes.</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ACF-15</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Web Application Access</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Some web access applications require accounts that are unique to the application.</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Yes</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No issue stated in source.</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Not stated in source / NA</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Application-specific account management</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Govern / Protect</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Identity &amp; Access Operations Governance; IT Service Management Governance</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application account inventory, provisioning process, access review evidence.</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No remediation indicated in source.</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Kept as compliant because the source marks the finding Yes.</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ACF-16</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Web Application Access</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The financial-management web application requires Active Directory authentication and a phone-based one-time password.</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Yes</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No issue stated in source.</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Not stated in source / NA</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MFA for sensitive application access</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Identity &amp; Access Operations Governance; Operational Evidence &amp; Audit Readiness</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MFA configuration evidence, application access policy, authentication logs.</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No remediation indicated in source.</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Kept as compliant because the source marks the finding Yes.</w:t>
            </w:r>
          </w:p>
        </w:tc>
      </w:tr>
      <w:tr>
        <w:tc>
          <w:tcPr>
            <w:tcW w:type="dxa" w:w="792"/>
            <w:tcMar>
              <w:top w:w="55" w:type="dxa"/>
              <w:start w:w="35" w:type="dxa"/>
              <w:bottom w:w="55" w:type="dxa"/>
              <w:end w:w="35" w:type="dxa"/>
            </w:tcMar>
            <w:vAlign w:val="top"/>
            <w:shd w:fill="FFFFFF"/>
          </w:tcPr>
          <w:p>
            <w:pPr>
              <w:jc w:val="center"/>
            </w:pPr>
            <w:r>
              <w:rPr>
                <w:rFonts w:ascii="Consolas" w:hAnsi="Consolas"/>
                <w:b/>
                <w:color w:val="14181C"/>
                <w:sz w:val="11"/>
              </w:rPr>
              <w:t>ACF-17</w:t>
            </w:r>
          </w:p>
        </w:tc>
        <w:tc>
          <w:tcPr>
            <w:tcW w:type="dxa" w:w="1080"/>
            <w:tcMar>
              <w:top w:w="55" w:type="dxa"/>
              <w:start w:w="35" w:type="dxa"/>
              <w:bottom w:w="55" w:type="dxa"/>
              <w:end w:w="35" w:type="dxa"/>
            </w:tcMar>
            <w:vAlign w:val="top"/>
            <w:shd w:fill="FFFFFF"/>
          </w:tcPr>
          <w:p>
            <w:pPr>
              <w:jc w:val="left"/>
            </w:pPr>
            <w:r>
              <w:rPr>
                <w:rFonts w:ascii="Aptos" w:hAnsi="Aptos"/>
                <w:color w:val="14181C"/>
                <w:sz w:val="11"/>
              </w:rPr>
              <w:t>File Services Access</w:t>
            </w:r>
          </w:p>
        </w:tc>
        <w:tc>
          <w:tcPr>
            <w:tcW w:type="dxa" w:w="2088"/>
            <w:tcMar>
              <w:top w:w="55" w:type="dxa"/>
              <w:start w:w="35" w:type="dxa"/>
              <w:bottom w:w="55" w:type="dxa"/>
              <w:end w:w="35" w:type="dxa"/>
            </w:tcMar>
            <w:vAlign w:val="top"/>
            <w:shd w:fill="FFFFFF"/>
          </w:tcPr>
          <w:p>
            <w:pPr>
              <w:jc w:val="left"/>
            </w:pPr>
            <w:r>
              <w:rPr>
                <w:rFonts w:ascii="Aptos" w:hAnsi="Aptos"/>
                <w:color w:val="14181C"/>
                <w:sz w:val="11"/>
              </w:rPr>
              <w:t>Cloud-based file management uses Grey Matter Active Directory, but all employees have access and files are accessible to all authenticated users by default unless owners restrict permissions.</w:t>
            </w:r>
          </w:p>
        </w:tc>
        <w:tc>
          <w:tcPr>
            <w:tcW w:type="dxa" w:w="820"/>
            <w:tcMar>
              <w:top w:w="55" w:type="dxa"/>
              <w:start w:w="35" w:type="dxa"/>
              <w:bottom w:w="55" w:type="dxa"/>
              <w:end w:w="35" w:type="dxa"/>
            </w:tcMar>
            <w:vAlign w:val="top"/>
            <w:shd w:fill="FFFFFF"/>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FFFFF"/>
          </w:tcPr>
          <w:p>
            <w:pPr>
              <w:jc w:val="left"/>
            </w:pPr>
            <w:r>
              <w:rPr>
                <w:rFonts w:ascii="Aptos" w:hAnsi="Aptos"/>
                <w:color w:val="14181C"/>
                <w:sz w:val="11"/>
              </w:rPr>
              <w:t>Default broad access bypasses centralized data permission control.</w:t>
            </w:r>
          </w:p>
        </w:tc>
        <w:tc>
          <w:tcPr>
            <w:tcW w:type="dxa" w:w="1224"/>
            <w:tcMar>
              <w:top w:w="55" w:type="dxa"/>
              <w:start w:w="35" w:type="dxa"/>
              <w:bottom w:w="55" w:type="dxa"/>
              <w:end w:w="35" w:type="dxa"/>
            </w:tcMar>
            <w:vAlign w:val="top"/>
            <w:shd w:fill="FFFFFF"/>
          </w:tcPr>
          <w:p>
            <w:pPr>
              <w:jc w:val="center"/>
            </w:pPr>
            <w:r>
              <w:rPr>
                <w:rFonts w:ascii="Aptos" w:hAnsi="Aptos"/>
                <w:b/>
                <w:color w:val="14181C"/>
                <w:sz w:val="11"/>
              </w:rPr>
              <w:t>AC-10</w:t>
            </w:r>
          </w:p>
        </w:tc>
        <w:tc>
          <w:tcPr>
            <w:tcW w:type="dxa" w:w="1368"/>
            <w:tcMar>
              <w:top w:w="55" w:type="dxa"/>
              <w:start w:w="35" w:type="dxa"/>
              <w:bottom w:w="55" w:type="dxa"/>
              <w:end w:w="35" w:type="dxa"/>
            </w:tcMar>
            <w:vAlign w:val="top"/>
            <w:shd w:fill="FFFFFF"/>
          </w:tcPr>
          <w:p>
            <w:pPr>
              <w:jc w:val="left"/>
            </w:pPr>
            <w:r>
              <w:rPr>
                <w:rFonts w:ascii="Aptos" w:hAnsi="Aptos"/>
                <w:color w:val="14181C"/>
                <w:sz w:val="11"/>
              </w:rPr>
              <w:t>Centralized access control; data access governance</w:t>
            </w:r>
          </w:p>
        </w:tc>
        <w:tc>
          <w:tcPr>
            <w:tcW w:type="dxa" w:w="1224"/>
            <w:tcMar>
              <w:top w:w="55" w:type="dxa"/>
              <w:start w:w="35" w:type="dxa"/>
              <w:bottom w:w="55" w:type="dxa"/>
              <w:end w:w="35" w:type="dxa"/>
            </w:tcMar>
            <w:vAlign w:val="top"/>
            <w:shd w:fill="FFFFFF"/>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FFFFF"/>
          </w:tcPr>
          <w:p>
            <w:pPr>
              <w:jc w:val="left"/>
            </w:pPr>
            <w:r>
              <w:rPr>
                <w:rFonts w:ascii="Aptos" w:hAnsi="Aptos"/>
                <w:color w:val="14181C"/>
                <w:sz w:val="11"/>
              </w:rPr>
              <w:t>Data Governance; Identity &amp; Access Operations Governance</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Suggested for future polish: default sharing settings, file permission reports, owner access reviews, directory-group mappings.</w:t>
            </w:r>
          </w:p>
        </w:tc>
        <w:tc>
          <w:tcPr>
            <w:tcW w:type="dxa" w:w="1944"/>
            <w:tcMar>
              <w:top w:w="55" w:type="dxa"/>
              <w:start w:w="35" w:type="dxa"/>
              <w:bottom w:w="55" w:type="dxa"/>
              <w:end w:w="35" w:type="dxa"/>
            </w:tcMar>
            <w:vAlign w:val="top"/>
            <w:shd w:fill="FFFFFF"/>
          </w:tcPr>
          <w:p>
            <w:pPr>
              <w:jc w:val="left"/>
            </w:pPr>
            <w:r>
              <w:rPr>
                <w:rFonts w:ascii="Aptos" w:hAnsi="Aptos"/>
                <w:color w:val="14181C"/>
                <w:sz w:val="11"/>
              </w:rPr>
              <w:t>Enforce file access through centralized directory services rather than relying on individual owners to restrict permissions.</w:t>
            </w:r>
          </w:p>
        </w:tc>
        <w:tc>
          <w:tcPr>
            <w:tcW w:type="dxa" w:w="1843"/>
            <w:tcMar>
              <w:top w:w="55" w:type="dxa"/>
              <w:start w:w="35" w:type="dxa"/>
              <w:bottom w:w="55" w:type="dxa"/>
              <w:end w:w="35" w:type="dxa"/>
            </w:tcMar>
            <w:vAlign w:val="top"/>
            <w:shd w:fill="FFFFFF"/>
          </w:tcPr>
          <w:p>
            <w:pPr>
              <w:jc w:val="left"/>
            </w:pPr>
            <w:r>
              <w:rPr>
                <w:rFonts w:ascii="Aptos" w:hAnsi="Aptos"/>
                <w:color w:val="14181C"/>
                <w:sz w:val="11"/>
              </w:rPr>
              <w:t>Source frames this as centralized access control deficiency; no data classification program is invented.</w:t>
            </w:r>
          </w:p>
        </w:tc>
      </w:tr>
      <w:tr>
        <w:tc>
          <w:tcPr>
            <w:tcW w:type="dxa" w:w="792"/>
            <w:tcMar>
              <w:top w:w="55" w:type="dxa"/>
              <w:start w:w="35" w:type="dxa"/>
              <w:bottom w:w="55" w:type="dxa"/>
              <w:end w:w="35" w:type="dxa"/>
            </w:tcMar>
            <w:vAlign w:val="top"/>
            <w:shd w:fill="FAFAF7"/>
          </w:tcPr>
          <w:p>
            <w:pPr>
              <w:jc w:val="center"/>
            </w:pPr>
            <w:r>
              <w:rPr>
                <w:rFonts w:ascii="Consolas" w:hAnsi="Consolas"/>
                <w:b/>
                <w:color w:val="14181C"/>
                <w:sz w:val="11"/>
              </w:rPr>
              <w:t>ACF-18</w:t>
            </w:r>
          </w:p>
        </w:tc>
        <w:tc>
          <w:tcPr>
            <w:tcW w:type="dxa" w:w="1080"/>
            <w:tcMar>
              <w:top w:w="55" w:type="dxa"/>
              <w:start w:w="35" w:type="dxa"/>
              <w:bottom w:w="55" w:type="dxa"/>
              <w:end w:w="35" w:type="dxa"/>
            </w:tcMar>
            <w:vAlign w:val="top"/>
            <w:shd w:fill="FAFAF7"/>
          </w:tcPr>
          <w:p>
            <w:pPr>
              <w:jc w:val="left"/>
            </w:pPr>
            <w:r>
              <w:rPr>
                <w:rFonts w:ascii="Aptos" w:hAnsi="Aptos"/>
                <w:color w:val="14181C"/>
                <w:sz w:val="11"/>
              </w:rPr>
              <w:t>File Services Access</w:t>
            </w:r>
          </w:p>
        </w:tc>
        <w:tc>
          <w:tcPr>
            <w:tcW w:type="dxa" w:w="2088"/>
            <w:tcMar>
              <w:top w:w="55" w:type="dxa"/>
              <w:start w:w="35" w:type="dxa"/>
              <w:bottom w:w="55" w:type="dxa"/>
              <w:end w:w="35" w:type="dxa"/>
            </w:tcMar>
            <w:vAlign w:val="top"/>
            <w:shd w:fill="FAFAF7"/>
          </w:tcPr>
          <w:p>
            <w:pPr>
              <w:jc w:val="left"/>
            </w:pPr>
            <w:r>
              <w:rPr>
                <w:rFonts w:ascii="Aptos" w:hAnsi="Aptos"/>
                <w:color w:val="14181C"/>
                <w:sz w:val="11"/>
              </w:rPr>
              <w:t>On-premise file servers map the M: drive to the root folder structure, allowing users to browse through departmental and personal folders.</w:t>
            </w:r>
          </w:p>
        </w:tc>
        <w:tc>
          <w:tcPr>
            <w:tcW w:type="dxa" w:w="820"/>
            <w:tcMar>
              <w:top w:w="55" w:type="dxa"/>
              <w:start w:w="35" w:type="dxa"/>
              <w:bottom w:w="55" w:type="dxa"/>
              <w:end w:w="35" w:type="dxa"/>
            </w:tcMar>
            <w:vAlign w:val="top"/>
            <w:shd w:fill="FAFAF7"/>
          </w:tcPr>
          <w:p>
            <w:pPr>
              <w:jc w:val="center"/>
            </w:pPr>
            <w:r>
              <w:rPr>
                <w:rFonts w:ascii="Aptos" w:hAnsi="Aptos"/>
                <w:b/>
                <w:color w:val="14181C"/>
                <w:sz w:val="11"/>
              </w:rPr>
              <w:t>No</w:t>
            </w:r>
          </w:p>
        </w:tc>
        <w:tc>
          <w:tcPr>
            <w:tcW w:type="dxa" w:w="1800"/>
            <w:tcMar>
              <w:top w:w="55" w:type="dxa"/>
              <w:start w:w="35" w:type="dxa"/>
              <w:bottom w:w="55" w:type="dxa"/>
              <w:end w:w="35" w:type="dxa"/>
            </w:tcMar>
            <w:vAlign w:val="top"/>
            <w:shd w:fill="FAFAF7"/>
          </w:tcPr>
          <w:p>
            <w:pPr>
              <w:jc w:val="left"/>
            </w:pPr>
            <w:r>
              <w:rPr>
                <w:rFonts w:ascii="Aptos" w:hAnsi="Aptos"/>
                <w:color w:val="14181C"/>
                <w:sz w:val="11"/>
              </w:rPr>
              <w:t>Root-level browsing exposes too much of the file system by default.</w:t>
            </w:r>
          </w:p>
        </w:tc>
        <w:tc>
          <w:tcPr>
            <w:tcW w:type="dxa" w:w="1224"/>
            <w:tcMar>
              <w:top w:w="55" w:type="dxa"/>
              <w:start w:w="35" w:type="dxa"/>
              <w:bottom w:w="55" w:type="dxa"/>
              <w:end w:w="35" w:type="dxa"/>
            </w:tcMar>
            <w:vAlign w:val="top"/>
            <w:shd w:fill="FAFAF7"/>
          </w:tcPr>
          <w:p>
            <w:pPr>
              <w:jc w:val="center"/>
            </w:pPr>
            <w:r>
              <w:rPr>
                <w:rFonts w:ascii="Aptos" w:hAnsi="Aptos"/>
                <w:b/>
                <w:color w:val="14181C"/>
                <w:sz w:val="11"/>
              </w:rPr>
              <w:t>AC-10</w:t>
            </w:r>
          </w:p>
        </w:tc>
        <w:tc>
          <w:tcPr>
            <w:tcW w:type="dxa" w:w="1368"/>
            <w:tcMar>
              <w:top w:w="55" w:type="dxa"/>
              <w:start w:w="35" w:type="dxa"/>
              <w:bottom w:w="55" w:type="dxa"/>
              <w:end w:w="35" w:type="dxa"/>
            </w:tcMar>
            <w:vAlign w:val="top"/>
            <w:shd w:fill="FAFAF7"/>
          </w:tcPr>
          <w:p>
            <w:pPr>
              <w:jc w:val="left"/>
            </w:pPr>
            <w:r>
              <w:rPr>
                <w:rFonts w:ascii="Aptos" w:hAnsi="Aptos"/>
                <w:color w:val="14181C"/>
                <w:sz w:val="11"/>
              </w:rPr>
              <w:t>Centralized access control; least visibility; data governance</w:t>
            </w:r>
          </w:p>
        </w:tc>
        <w:tc>
          <w:tcPr>
            <w:tcW w:type="dxa" w:w="1224"/>
            <w:tcMar>
              <w:top w:w="55" w:type="dxa"/>
              <w:start w:w="35" w:type="dxa"/>
              <w:bottom w:w="55" w:type="dxa"/>
              <w:end w:w="35" w:type="dxa"/>
            </w:tcMar>
            <w:vAlign w:val="top"/>
            <w:shd w:fill="FAFAF7"/>
          </w:tcPr>
          <w:p>
            <w:pPr>
              <w:jc w:val="center"/>
            </w:pPr>
            <w:r>
              <w:rPr>
                <w:rFonts w:ascii="Aptos" w:hAnsi="Aptos"/>
                <w:color w:val="14181C"/>
                <w:sz w:val="11"/>
              </w:rPr>
              <w:t>Suggested for future polish: Protect / Govern</w:t>
            </w:r>
          </w:p>
        </w:tc>
        <w:tc>
          <w:tcPr>
            <w:tcW w:type="dxa" w:w="1612"/>
            <w:tcMar>
              <w:top w:w="55" w:type="dxa"/>
              <w:start w:w="35" w:type="dxa"/>
              <w:bottom w:w="55" w:type="dxa"/>
              <w:end w:w="35" w:type="dxa"/>
            </w:tcMar>
            <w:vAlign w:val="top"/>
            <w:shd w:fill="FAFAF7"/>
          </w:tcPr>
          <w:p>
            <w:pPr>
              <w:jc w:val="left"/>
            </w:pPr>
            <w:r>
              <w:rPr>
                <w:rFonts w:ascii="Aptos" w:hAnsi="Aptos"/>
                <w:color w:val="14181C"/>
                <w:sz w:val="11"/>
              </w:rPr>
              <w:t>Data Governance; Identity &amp; Access Operations Governance; Operational Evidence &amp; Audit Readiness</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Suggested for future polish: file share ACLs, mapped-drive configuration, access-based enumeration settings, folder permission review.</w:t>
            </w:r>
          </w:p>
        </w:tc>
        <w:tc>
          <w:tcPr>
            <w:tcW w:type="dxa" w:w="1944"/>
            <w:tcMar>
              <w:top w:w="55" w:type="dxa"/>
              <w:start w:w="35" w:type="dxa"/>
              <w:bottom w:w="55" w:type="dxa"/>
              <w:end w:w="35" w:type="dxa"/>
            </w:tcMar>
            <w:vAlign w:val="top"/>
            <w:shd w:fill="FAFAF7"/>
          </w:tcPr>
          <w:p>
            <w:pPr>
              <w:jc w:val="left"/>
            </w:pPr>
            <w:r>
              <w:rPr>
                <w:rFonts w:ascii="Aptos" w:hAnsi="Aptos"/>
                <w:color w:val="14181C"/>
                <w:sz w:val="11"/>
              </w:rPr>
              <w:t>Enforce role-based visibility and permissions through centralized access control rather than open browsing.</w:t>
            </w:r>
          </w:p>
        </w:tc>
        <w:tc>
          <w:tcPr>
            <w:tcW w:type="dxa" w:w="1843"/>
            <w:tcMar>
              <w:top w:w="55" w:type="dxa"/>
              <w:start w:w="35" w:type="dxa"/>
              <w:bottom w:w="55" w:type="dxa"/>
              <w:end w:w="35" w:type="dxa"/>
            </w:tcMar>
            <w:vAlign w:val="top"/>
            <w:shd w:fill="FAFAF7"/>
          </w:tcPr>
          <w:p>
            <w:pPr>
              <w:jc w:val="left"/>
            </w:pPr>
            <w:r>
              <w:rPr>
                <w:rFonts w:ascii="Aptos" w:hAnsi="Aptos"/>
                <w:color w:val="14181C"/>
                <w:sz w:val="11"/>
              </w:rPr>
              <w:t>Portfolio version treats visibility and permissions as audit evidence needs, not implemented controls.</w:t>
            </w:r>
          </w:p>
        </w:tc>
      </w:tr>
    </w:tbl>
    <w:p>
      <w:pPr>
        <w:spacing w:before="200" w:after="80"/>
      </w:pPr>
      <w:r>
        <w:rPr>
          <w:rFonts w:ascii="Georgia" w:hAnsi="Georgia"/>
          <w:b/>
          <w:color w:val="0C2340"/>
          <w:sz w:val="32"/>
        </w:rPr>
        <w:t>5. Technology Operations Governance Mapping</w:t>
      </w:r>
    </w:p>
    <w:p>
      <w:pPr>
        <w:spacing w:after="100" w:line="252" w:lineRule="auto"/>
      </w:pPr>
      <w:r>
        <w:rPr>
          <w:rFonts w:ascii="Aptos" w:hAnsi="Aptos"/>
          <w:color w:val="14181C"/>
          <w:sz w:val="19"/>
        </w:rPr>
        <w:t>The findings align most strongly to access operations, audit evidence, monitoring readiness, vendor access, and data governance. The categories below are used as portfolio organization labels and are not presented as completed implementation work.</w:t>
      </w:r>
    </w:p>
    <w:p>
      <w:pPr>
        <w:spacing w:after="60"/>
      </w:pPr>
      <w:r>
        <w:rPr>
          <w:rFonts w:ascii="Aptos" w:hAnsi="Aptos"/>
          <w:b/>
          <w:color w:val="0C2340"/>
          <w:sz w:val="18"/>
        </w:rPr>
        <w:t xml:space="preserve">Identity &amp; Access Operations Governance: </w:t>
      </w:r>
      <w:r>
        <w:rPr>
          <w:rFonts w:ascii="Aptos" w:hAnsi="Aptos"/>
          <w:color w:val="14181C"/>
          <w:sz w:val="18"/>
        </w:rPr>
        <w:t>Employee access, VPN accounts, privileged users, SSO gaps, Domain Administrators membership, and file access permission governance.</w:t>
      </w:r>
    </w:p>
    <w:p>
      <w:pPr>
        <w:spacing w:after="60"/>
      </w:pPr>
      <w:r>
        <w:rPr>
          <w:rFonts w:ascii="Aptos" w:hAnsi="Aptos"/>
          <w:b/>
          <w:color w:val="0C2340"/>
          <w:sz w:val="18"/>
        </w:rPr>
        <w:t xml:space="preserve">IT Service Management Governance: </w:t>
      </w:r>
      <w:r>
        <w:rPr>
          <w:rFonts w:ascii="Aptos" w:hAnsi="Aptos"/>
          <w:color w:val="14181C"/>
          <w:sz w:val="18"/>
        </w:rPr>
        <w:t>VPN account provisioning, application account handling, and administrative workstation/device evidence where supported by source findings.</w:t>
      </w:r>
    </w:p>
    <w:p>
      <w:pPr>
        <w:spacing w:after="60"/>
      </w:pPr>
      <w:r>
        <w:rPr>
          <w:rFonts w:ascii="Aptos" w:hAnsi="Aptos"/>
          <w:b/>
          <w:color w:val="0C2340"/>
          <w:sz w:val="18"/>
        </w:rPr>
        <w:t xml:space="preserve">Change &amp; Configuration Governance: </w:t>
      </w:r>
      <w:r>
        <w:rPr>
          <w:rFonts w:ascii="Aptos" w:hAnsi="Aptos"/>
          <w:color w:val="14181C"/>
          <w:sz w:val="18"/>
        </w:rPr>
        <w:t>VPN access profiles, local administrator account configuration, file share configuration, and role-based access configuration.</w:t>
      </w:r>
    </w:p>
    <w:p>
      <w:pPr>
        <w:spacing w:after="60"/>
      </w:pPr>
      <w:r>
        <w:rPr>
          <w:rFonts w:ascii="Aptos" w:hAnsi="Aptos"/>
          <w:b/>
          <w:color w:val="0C2340"/>
          <w:sz w:val="18"/>
        </w:rPr>
        <w:t xml:space="preserve">Monitoring &amp; Incident Readiness: </w:t>
      </w:r>
      <w:r>
        <w:rPr>
          <w:rFonts w:ascii="Aptos" w:hAnsi="Aptos"/>
          <w:color w:val="14181C"/>
          <w:sz w:val="18"/>
        </w:rPr>
        <w:t>Failed-login alerting, admin login logging, and remote access monitoring referenced or implied by source audit evidence gaps.</w:t>
      </w:r>
    </w:p>
    <w:p>
      <w:pPr>
        <w:spacing w:after="60"/>
      </w:pPr>
      <w:r>
        <w:rPr>
          <w:rFonts w:ascii="Aptos" w:hAnsi="Aptos"/>
          <w:b/>
          <w:color w:val="0C2340"/>
          <w:sz w:val="18"/>
        </w:rPr>
        <w:t xml:space="preserve">Data Governance: </w:t>
      </w:r>
      <w:r>
        <w:rPr>
          <w:rFonts w:ascii="Aptos" w:hAnsi="Aptos"/>
          <w:color w:val="14181C"/>
          <w:sz w:val="18"/>
        </w:rPr>
        <w:t>Cloud file-management access defaults and on-premise file share visibility concerns.</w:t>
      </w:r>
    </w:p>
    <w:p>
      <w:pPr>
        <w:spacing w:after="60"/>
      </w:pPr>
      <w:r>
        <w:rPr>
          <w:rFonts w:ascii="Aptos" w:hAnsi="Aptos"/>
          <w:b/>
          <w:color w:val="0C2340"/>
          <w:sz w:val="18"/>
        </w:rPr>
        <w:t xml:space="preserve">Vendor &amp; SaaS Operations Governance: </w:t>
      </w:r>
      <w:r>
        <w:rPr>
          <w:rFonts w:ascii="Aptos" w:hAnsi="Aptos"/>
          <w:color w:val="14181C"/>
          <w:sz w:val="18"/>
        </w:rPr>
        <w:t>Vendor/contractor VPN access and web application access governance where source findings mention external parties or applications.</w:t>
      </w:r>
    </w:p>
    <w:p>
      <w:pPr>
        <w:spacing w:after="60"/>
      </w:pPr>
      <w:r>
        <w:rPr>
          <w:rFonts w:ascii="Aptos" w:hAnsi="Aptos"/>
          <w:b/>
          <w:color w:val="0C2340"/>
          <w:sz w:val="18"/>
        </w:rPr>
        <w:t xml:space="preserve">Operational Evidence &amp; Audit Readiness: </w:t>
      </w:r>
      <w:r>
        <w:rPr>
          <w:rFonts w:ascii="Aptos" w:hAnsi="Aptos"/>
          <w:color w:val="14181C"/>
          <w:sz w:val="18"/>
        </w:rPr>
        <w:t>Evidence needed to prove MFA, RBAC, centralized access control, logging, and privileged access hygiene.</w:t>
      </w:r>
    </w:p>
    <w:p>
      <w:pPr>
        <w:spacing w:before="200" w:after="80"/>
      </w:pPr>
      <w:r>
        <w:rPr>
          <w:rFonts w:ascii="Georgia" w:hAnsi="Georgia"/>
          <w:b/>
          <w:color w:val="0C2340"/>
          <w:sz w:val="32"/>
        </w:rPr>
        <w:t>6. Evidence &amp; Remediation Tracker</w:t>
      </w:r>
    </w:p>
    <w:p>
      <w:pPr>
        <w:spacing w:after="100" w:line="252" w:lineRule="auto"/>
      </w:pPr>
      <w:r>
        <w:rPr>
          <w:rFonts w:ascii="Aptos" w:hAnsi="Aptos"/>
          <w:color w:val="14181C"/>
          <w:sz w:val="19"/>
        </w:rPr>
        <w:t>The tracker is designed for audit readiness and remediation planning. No item is marked complete because the source does not state that remediation was performed.</w:t>
      </w:r>
    </w:p>
    <w:tbl>
      <w:tblPr>
        <w:tblW w:type="auto" w:w="0"/>
        <w:jc w:val="center"/>
        <w:tblLayout w:type="fixed"/>
        <w:tblLook w:firstColumn="1" w:firstRow="1" w:lastColumn="0" w:lastRow="0" w:noHBand="0" w:noVBand="1" w:val="04A0"/>
        <w:tblBorders>
          <w:top w:val="single" w:sz="4" w:space="0" w:color="E3E6EA"/>
          <w:left w:val="single" w:sz="4" w:space="0" w:color="E3E6EA"/>
          <w:bottom w:val="single" w:sz="4" w:space="0" w:color="E3E6EA"/>
          <w:right w:val="single" w:sz="4" w:space="0" w:color="E3E6EA"/>
          <w:insideH w:val="single" w:sz="4" w:space="0" w:color="E3E6EA"/>
          <w:insideV w:val="single" w:sz="4" w:space="0" w:color="E3E6EA"/>
        </w:tblBorders>
      </w:tblPr>
      <w:tblGrid>
        <w:gridCol w:w="2119"/>
        <w:gridCol w:w="2119"/>
        <w:gridCol w:w="2119"/>
        <w:gridCol w:w="2119"/>
        <w:gridCol w:w="2119"/>
        <w:gridCol w:w="2119"/>
        <w:gridCol w:w="2119"/>
      </w:tblGrid>
      <w:tr>
        <w:tc>
          <w:tcPr>
            <w:tcW w:type="dxa" w:w="1152"/>
            <w:shd w:fill="0C2340"/>
            <w:tcMar>
              <w:top w:w="70" w:type="dxa"/>
              <w:start w:w="45" w:type="dxa"/>
              <w:bottom w:w="70" w:type="dxa"/>
              <w:end w:w="45" w:type="dxa"/>
            </w:tcMar>
            <w:vAlign w:val="center"/>
          </w:tcPr>
          <w:p>
            <w:pPr>
              <w:jc w:val="center"/>
            </w:pPr>
            <w:r>
              <w:rPr>
                <w:rFonts w:ascii="Aptos" w:hAnsi="Aptos"/>
                <w:b/>
                <w:color w:val="FFFFFF"/>
                <w:sz w:val="14"/>
              </w:rPr>
              <w:t>Finding ID</w:t>
            </w:r>
          </w:p>
        </w:tc>
        <w:tc>
          <w:tcPr>
            <w:tcW w:type="dxa" w:w="3096"/>
            <w:shd w:fill="0C2340"/>
            <w:tcMar>
              <w:top w:w="70" w:type="dxa"/>
              <w:start w:w="45" w:type="dxa"/>
              <w:bottom w:w="70" w:type="dxa"/>
              <w:end w:w="45" w:type="dxa"/>
            </w:tcMar>
            <w:vAlign w:val="center"/>
          </w:tcPr>
          <w:p>
            <w:pPr>
              <w:jc w:val="center"/>
            </w:pPr>
            <w:r>
              <w:rPr>
                <w:rFonts w:ascii="Aptos" w:hAnsi="Aptos"/>
                <w:b/>
                <w:color w:val="FFFFFF"/>
                <w:sz w:val="14"/>
              </w:rPr>
              <w:t>Evidence Needed</w:t>
            </w:r>
          </w:p>
        </w:tc>
        <w:tc>
          <w:tcPr>
            <w:tcW w:type="dxa" w:w="3168"/>
            <w:shd w:fill="0C2340"/>
            <w:tcMar>
              <w:top w:w="70" w:type="dxa"/>
              <w:start w:w="45" w:type="dxa"/>
              <w:bottom w:w="70" w:type="dxa"/>
              <w:end w:w="45" w:type="dxa"/>
            </w:tcMar>
            <w:vAlign w:val="center"/>
          </w:tcPr>
          <w:p>
            <w:pPr>
              <w:jc w:val="center"/>
            </w:pPr>
            <w:r>
              <w:rPr>
                <w:rFonts w:ascii="Aptos" w:hAnsi="Aptos"/>
                <w:b/>
                <w:color w:val="FFFFFF"/>
                <w:sz w:val="14"/>
              </w:rPr>
              <w:t>Recommended Remediation</w:t>
            </w:r>
          </w:p>
        </w:tc>
        <w:tc>
          <w:tcPr>
            <w:tcW w:type="dxa" w:w="1872"/>
            <w:shd w:fill="0C2340"/>
            <w:tcMar>
              <w:top w:w="70" w:type="dxa"/>
              <w:start w:w="45" w:type="dxa"/>
              <w:bottom w:w="70" w:type="dxa"/>
              <w:end w:w="45" w:type="dxa"/>
            </w:tcMar>
            <w:vAlign w:val="center"/>
          </w:tcPr>
          <w:p>
            <w:pPr>
              <w:jc w:val="center"/>
            </w:pPr>
            <w:r>
              <w:rPr>
                <w:rFonts w:ascii="Aptos" w:hAnsi="Aptos"/>
                <w:b/>
                <w:color w:val="FFFFFF"/>
                <w:sz w:val="14"/>
              </w:rPr>
              <w:t>Priority</w:t>
            </w:r>
          </w:p>
        </w:tc>
        <w:tc>
          <w:tcPr>
            <w:tcW w:type="dxa" w:w="2304"/>
            <w:shd w:fill="0C2340"/>
            <w:tcMar>
              <w:top w:w="70" w:type="dxa"/>
              <w:start w:w="45" w:type="dxa"/>
              <w:bottom w:w="70" w:type="dxa"/>
              <w:end w:w="45" w:type="dxa"/>
            </w:tcMar>
            <w:vAlign w:val="center"/>
          </w:tcPr>
          <w:p>
            <w:pPr>
              <w:jc w:val="center"/>
            </w:pPr>
            <w:r>
              <w:rPr>
                <w:rFonts w:ascii="Aptos" w:hAnsi="Aptos"/>
                <w:b/>
                <w:color w:val="FFFFFF"/>
                <w:sz w:val="14"/>
              </w:rPr>
              <w:t>Responsible Area</w:t>
            </w:r>
          </w:p>
        </w:tc>
        <w:tc>
          <w:tcPr>
            <w:tcW w:type="dxa" w:w="2088"/>
            <w:shd w:fill="0C2340"/>
            <w:tcMar>
              <w:top w:w="70" w:type="dxa"/>
              <w:start w:w="45" w:type="dxa"/>
              <w:bottom w:w="70" w:type="dxa"/>
              <w:end w:w="45" w:type="dxa"/>
            </w:tcMar>
            <w:vAlign w:val="center"/>
          </w:tcPr>
          <w:p>
            <w:pPr>
              <w:jc w:val="center"/>
            </w:pPr>
            <w:r>
              <w:rPr>
                <w:rFonts w:ascii="Aptos" w:hAnsi="Aptos"/>
                <w:b/>
                <w:color w:val="FFFFFF"/>
                <w:sz w:val="14"/>
              </w:rPr>
              <w:t>Status</w:t>
            </w:r>
          </w:p>
        </w:tc>
        <w:tc>
          <w:tcPr>
            <w:tcW w:type="dxa" w:w="3024"/>
            <w:shd w:fill="0C2340"/>
            <w:tcMar>
              <w:top w:w="70" w:type="dxa"/>
              <w:start w:w="45" w:type="dxa"/>
              <w:bottom w:w="70" w:type="dxa"/>
              <w:end w:w="45" w:type="dxa"/>
            </w:tcMar>
            <w:vAlign w:val="center"/>
          </w:tcPr>
          <w:p>
            <w:pPr>
              <w:jc w:val="center"/>
            </w:pPr>
            <w:r>
              <w:rPr>
                <w:rFonts w:ascii="Aptos" w:hAnsi="Aptos"/>
                <w:b/>
                <w:color w:val="FFFFFF"/>
                <w:sz w:val="14"/>
              </w:rPr>
              <w:t>Notes</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ACF-01</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endpoint local admin inventory, AD group membership export, privileged account policy, dedicated workstation evidence.</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Require separate administrative accounts and remove local administrator rights from standard domain credentials.</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Suggested for future polish: Medium</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ACF-02</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BYOD policy, MFA configuration evidence, mobile access logs, conditional access rules.</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Require MFA and encrypted channels for remote access from personal devices.</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Suggested for future polish: Medium</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ACF-03</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VPN configuration, MFA settings, access profiles, failed-login alerting evidence, VPN logs.</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Require MFA, role-based access, and logging/alerting for remote access.</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ACF-04</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VPN account request records, approval workflow, MFA configuration, account lifecycle evidence.</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Enforce MFA for all remote access methods.</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Suggested for future polish: Medium</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ACF-05</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VPN role matrix, network access profiles, job-role mapping, segmentation rules.</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Limit users to the minimum network access needed for job duties.</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Suggested for future polish: Medium</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ACF-06</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VPN MFA settings, remote access policies, dedicated workstation documentation, access logs.</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Protect remote access with MFA and encrypted channels; document dedicated workstation expectations where applicable.</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Suggested for future polish: Medium</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ACF-07</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admin VPN access records, MFA evidence, admin account inventory, directory-service controls, admin login logs, workstation standard.</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Require MFA, separate administrative accounts, centralized directory control, dedicated workstations, and logging for administrative authorization attempts.</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ACF-08</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vendor access list, contractor approvals, business justification, access reviews, centralized directory evidence.</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Enforce role-based and centralized access control for vendors and contractors; limit access by business need.</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Vendor &amp; SaaS Operations Governance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ACF-09</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Domain Admins export, named account inventory, MFA evidence, privileged access policy.</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Use unique dedicated administrative accounts and enforce MFA for privileged access.</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ACF-10</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Domain Admins membership export, role-to-access mapping, exception approvals.</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Remove unnecessary Domain Administrator privileges and align access to job role.</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ACF-11</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asset assignment records and device management evidence if used in a future portfolio version.</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No remediation indicated in source.</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Not stated in source; suggested for future polish: Low</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Not stated in source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No remediation indicated in source</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ACF-12</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local admin account inventory, password policy, privileged access procedure, endpoint administrator configuration evidence.</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Use separate administrative accounts, enforce MFA where applicable, and apply password policy enforcement.</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ACF-13</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application inventory, SSO coverage list, role mapping, authentication configuration evidence.</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Govern web application access through role-based controls and consistent access scoping.</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Suggested for future polish: Medium</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Identity &amp; Access Operations Governance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ACF-14</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application authentication inventory and AD integration evidence.</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No remediation indicated in source.</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Not stated in source; suggested for future polish: Low</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Not stated in source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No remediation indicated in source</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ACF-15</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application account inventory, provisioning process, access review evidence.</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No remediation indicated in source.</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Not stated in source; suggested for future polish: Low</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Not stated in source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No remediation indicated in source</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ACF-16</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MFA configuration evidence, application access policy, authentication logs.</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No remediation indicated in source.</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Not stated in source; suggested for future polish: Low</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Not stated in source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No remediation indicated in source</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FFFFF"/>
          </w:tcPr>
          <w:p>
            <w:pPr>
              <w:jc w:val="center"/>
            </w:pPr>
            <w:r>
              <w:rPr>
                <w:rFonts w:ascii="Consolas" w:hAnsi="Consolas"/>
                <w:b/>
                <w:color w:val="14181C"/>
                <w:sz w:val="12"/>
              </w:rPr>
              <w:t>ACF-17</w:t>
            </w:r>
          </w:p>
        </w:tc>
        <w:tc>
          <w:tcPr>
            <w:tcW w:type="dxa" w:w="3096"/>
            <w:tcMar>
              <w:top w:w="55" w:type="dxa"/>
              <w:start w:w="45" w:type="dxa"/>
              <w:bottom w:w="55" w:type="dxa"/>
              <w:end w:w="45" w:type="dxa"/>
            </w:tcMar>
            <w:vAlign w:val="top"/>
            <w:shd w:fill="FFFFFF"/>
          </w:tcPr>
          <w:p>
            <w:pPr>
              <w:jc w:val="left"/>
            </w:pPr>
            <w:r>
              <w:rPr>
                <w:rFonts w:ascii="Aptos" w:hAnsi="Aptos"/>
                <w:color w:val="14181C"/>
                <w:sz w:val="12"/>
              </w:rPr>
              <w:t>Suggested for future polish: default sharing settings, file permission reports, owner access reviews, directory-group mappings.</w:t>
            </w:r>
          </w:p>
        </w:tc>
        <w:tc>
          <w:tcPr>
            <w:tcW w:type="dxa" w:w="3168"/>
            <w:tcMar>
              <w:top w:w="55" w:type="dxa"/>
              <w:start w:w="45" w:type="dxa"/>
              <w:bottom w:w="55" w:type="dxa"/>
              <w:end w:w="45" w:type="dxa"/>
            </w:tcMar>
            <w:vAlign w:val="top"/>
            <w:shd w:fill="FFFFFF"/>
          </w:tcPr>
          <w:p>
            <w:pPr>
              <w:jc w:val="left"/>
            </w:pPr>
            <w:r>
              <w:rPr>
                <w:rFonts w:ascii="Aptos" w:hAnsi="Aptos"/>
                <w:color w:val="14181C"/>
                <w:sz w:val="12"/>
              </w:rPr>
              <w:t>Enforce file access through centralized directory services rather than relying on individual owners to restrict permissions.</w:t>
            </w:r>
          </w:p>
        </w:tc>
        <w:tc>
          <w:tcPr>
            <w:tcW w:type="dxa" w:w="1872"/>
            <w:tcMar>
              <w:top w:w="55" w:type="dxa"/>
              <w:start w:w="45" w:type="dxa"/>
              <w:bottom w:w="55" w:type="dxa"/>
              <w:end w:w="45" w:type="dxa"/>
            </w:tcMar>
            <w:vAlign w:val="top"/>
            <w:shd w:fill="FFFFFF"/>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FFFFF"/>
          </w:tcPr>
          <w:p>
            <w:pPr>
              <w:jc w:val="left"/>
            </w:pPr>
            <w:r>
              <w:rPr>
                <w:rFonts w:ascii="Aptos" w:hAnsi="Aptos"/>
                <w:color w:val="14181C"/>
                <w:sz w:val="12"/>
              </w:rPr>
              <w:t>Data Governance</w:t>
            </w:r>
          </w:p>
        </w:tc>
        <w:tc>
          <w:tcPr>
            <w:tcW w:type="dxa" w:w="2088"/>
            <w:tcMar>
              <w:top w:w="55" w:type="dxa"/>
              <w:start w:w="45" w:type="dxa"/>
              <w:bottom w:w="55" w:type="dxa"/>
              <w:end w:w="45" w:type="dxa"/>
            </w:tcMar>
            <w:vAlign w:val="top"/>
            <w:shd w:fill="FFFFFF"/>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FFFFF"/>
          </w:tcPr>
          <w:p>
            <w:pPr>
              <w:jc w:val="left"/>
            </w:pPr>
            <w:r>
              <w:rPr>
                <w:rFonts w:ascii="Aptos" w:hAnsi="Aptos"/>
                <w:color w:val="14181C"/>
                <w:sz w:val="12"/>
              </w:rPr>
              <w:t>Do not mark complete unless future evidence proves remediation was performed.</w:t>
            </w:r>
          </w:p>
        </w:tc>
      </w:tr>
      <w:tr>
        <w:tc>
          <w:tcPr>
            <w:tcW w:type="dxa" w:w="1152"/>
            <w:tcMar>
              <w:top w:w="55" w:type="dxa"/>
              <w:start w:w="45" w:type="dxa"/>
              <w:bottom w:w="55" w:type="dxa"/>
              <w:end w:w="45" w:type="dxa"/>
            </w:tcMar>
            <w:vAlign w:val="top"/>
            <w:shd w:fill="FAFAF7"/>
          </w:tcPr>
          <w:p>
            <w:pPr>
              <w:jc w:val="center"/>
            </w:pPr>
            <w:r>
              <w:rPr>
                <w:rFonts w:ascii="Consolas" w:hAnsi="Consolas"/>
                <w:b/>
                <w:color w:val="14181C"/>
                <w:sz w:val="12"/>
              </w:rPr>
              <w:t>ACF-18</w:t>
            </w:r>
          </w:p>
        </w:tc>
        <w:tc>
          <w:tcPr>
            <w:tcW w:type="dxa" w:w="3096"/>
            <w:tcMar>
              <w:top w:w="55" w:type="dxa"/>
              <w:start w:w="45" w:type="dxa"/>
              <w:bottom w:w="55" w:type="dxa"/>
              <w:end w:w="45" w:type="dxa"/>
            </w:tcMar>
            <w:vAlign w:val="top"/>
            <w:shd w:fill="FAFAF7"/>
          </w:tcPr>
          <w:p>
            <w:pPr>
              <w:jc w:val="left"/>
            </w:pPr>
            <w:r>
              <w:rPr>
                <w:rFonts w:ascii="Aptos" w:hAnsi="Aptos"/>
                <w:color w:val="14181C"/>
                <w:sz w:val="12"/>
              </w:rPr>
              <w:t>Suggested for future polish: file share ACLs, mapped-drive configuration, access-based enumeration settings, folder permission review.</w:t>
            </w:r>
          </w:p>
        </w:tc>
        <w:tc>
          <w:tcPr>
            <w:tcW w:type="dxa" w:w="3168"/>
            <w:tcMar>
              <w:top w:w="55" w:type="dxa"/>
              <w:start w:w="45" w:type="dxa"/>
              <w:bottom w:w="55" w:type="dxa"/>
              <w:end w:w="45" w:type="dxa"/>
            </w:tcMar>
            <w:vAlign w:val="top"/>
            <w:shd w:fill="FAFAF7"/>
          </w:tcPr>
          <w:p>
            <w:pPr>
              <w:jc w:val="left"/>
            </w:pPr>
            <w:r>
              <w:rPr>
                <w:rFonts w:ascii="Aptos" w:hAnsi="Aptos"/>
                <w:color w:val="14181C"/>
                <w:sz w:val="12"/>
              </w:rPr>
              <w:t>Enforce role-based visibility and permissions through centralized access control rather than open browsing.</w:t>
            </w:r>
          </w:p>
        </w:tc>
        <w:tc>
          <w:tcPr>
            <w:tcW w:type="dxa" w:w="1872"/>
            <w:tcMar>
              <w:top w:w="55" w:type="dxa"/>
              <w:start w:w="45" w:type="dxa"/>
              <w:bottom w:w="55" w:type="dxa"/>
              <w:end w:w="45" w:type="dxa"/>
            </w:tcMar>
            <w:vAlign w:val="top"/>
            <w:shd w:fill="FAFAF7"/>
          </w:tcPr>
          <w:p>
            <w:pPr>
              <w:jc w:val="center"/>
            </w:pPr>
            <w:r>
              <w:rPr>
                <w:rFonts w:ascii="Aptos" w:hAnsi="Aptos"/>
                <w:color w:val="14181C"/>
                <w:sz w:val="12"/>
              </w:rPr>
              <w:t>Suggested for future polish: High</w:t>
            </w:r>
          </w:p>
        </w:tc>
        <w:tc>
          <w:tcPr>
            <w:tcW w:type="dxa" w:w="2304"/>
            <w:tcMar>
              <w:top w:w="55" w:type="dxa"/>
              <w:start w:w="45" w:type="dxa"/>
              <w:bottom w:w="55" w:type="dxa"/>
              <w:end w:w="45" w:type="dxa"/>
            </w:tcMar>
            <w:vAlign w:val="top"/>
            <w:shd w:fill="FAFAF7"/>
          </w:tcPr>
          <w:p>
            <w:pPr>
              <w:jc w:val="left"/>
            </w:pPr>
            <w:r>
              <w:rPr>
                <w:rFonts w:ascii="Aptos" w:hAnsi="Aptos"/>
                <w:color w:val="14181C"/>
                <w:sz w:val="12"/>
              </w:rPr>
              <w:t>Data Governance</w:t>
            </w:r>
          </w:p>
        </w:tc>
        <w:tc>
          <w:tcPr>
            <w:tcW w:type="dxa" w:w="2088"/>
            <w:tcMar>
              <w:top w:w="55" w:type="dxa"/>
              <w:start w:w="45" w:type="dxa"/>
              <w:bottom w:w="55" w:type="dxa"/>
              <w:end w:w="45" w:type="dxa"/>
            </w:tcMar>
            <w:vAlign w:val="top"/>
            <w:shd w:fill="FAFAF7"/>
          </w:tcPr>
          <w:p>
            <w:pPr>
              <w:jc w:val="center"/>
            </w:pPr>
            <w:r>
              <w:rPr>
                <w:rFonts w:ascii="Aptos" w:hAnsi="Aptos"/>
                <w:color w:val="14181C"/>
                <w:sz w:val="12"/>
              </w:rPr>
              <w:t>Open / assessment observation only</w:t>
            </w:r>
          </w:p>
        </w:tc>
        <w:tc>
          <w:tcPr>
            <w:tcW w:type="dxa" w:w="3024"/>
            <w:tcMar>
              <w:top w:w="55" w:type="dxa"/>
              <w:start w:w="45" w:type="dxa"/>
              <w:bottom w:w="55" w:type="dxa"/>
              <w:end w:w="45" w:type="dxa"/>
            </w:tcMar>
            <w:vAlign w:val="top"/>
            <w:shd w:fill="FAFAF7"/>
          </w:tcPr>
          <w:p>
            <w:pPr>
              <w:jc w:val="left"/>
            </w:pPr>
            <w:r>
              <w:rPr>
                <w:rFonts w:ascii="Aptos" w:hAnsi="Aptos"/>
                <w:color w:val="14181C"/>
                <w:sz w:val="12"/>
              </w:rPr>
              <w:t>Do not mark complete unless future evidence proves remediation was performed.</w:t>
            </w:r>
          </w:p>
        </w:tc>
      </w:tr>
    </w:tbl>
    <w:p>
      <w:pPr>
        <w:spacing w:before="200" w:after="80"/>
      </w:pPr>
      <w:r>
        <w:rPr>
          <w:rFonts w:ascii="Georgia" w:hAnsi="Georgia"/>
          <w:b/>
          <w:color w:val="0C2340"/>
          <w:sz w:val="32"/>
        </w:rPr>
        <w:t>7. Business Impact</w:t>
      </w:r>
    </w:p>
    <w:p>
      <w:pPr>
        <w:spacing w:after="100" w:line="252" w:lineRule="auto"/>
      </w:pPr>
      <w:r>
        <w:rPr>
          <w:rFonts w:ascii="Aptos" w:hAnsi="Aptos"/>
          <w:color w:val="14181C"/>
          <w:sz w:val="19"/>
        </w:rPr>
        <w:t>Access control gaps can affect audit readiness by making it difficult to prove who has access, why access is needed, whether privileged activity is accountable, and whether remote access is protected. Least-privilege gaps and common administrative accounts can increase operational risk by weakening traceability. Remote access weaknesses can affect administrative security, while broad file access and root-level browsing can increase data exposure. The portfolio value of this crosswalk is that it turns individual access findings into governance themes that can be reviewed, evidenced, and prioritized.</w:t>
      </w:r>
    </w:p>
    <w:p>
      <w:pPr>
        <w:spacing w:before="200" w:after="80"/>
      </w:pPr>
      <w:r>
        <w:rPr>
          <w:rFonts w:ascii="Georgia" w:hAnsi="Georgia"/>
          <w:b/>
          <w:color w:val="0C2340"/>
          <w:sz w:val="32"/>
        </w:rPr>
        <w:t>8. Skills Demonstrated</w:t>
      </w:r>
    </w:p>
    <w:p>
      <w:pPr>
        <w:spacing w:after="40"/>
        <w:ind w:left="288" w:hanging="173"/>
      </w:pPr>
      <w:r>
        <w:rPr>
          <w:rFonts w:ascii="Aptos" w:hAnsi="Aptos"/>
          <w:color w:val="14181C"/>
          <w:sz w:val="18"/>
        </w:rPr>
        <w:t>• Access control assessment</w:t>
      </w:r>
    </w:p>
    <w:p>
      <w:pPr>
        <w:spacing w:after="40"/>
        <w:ind w:left="288" w:hanging="173"/>
      </w:pPr>
      <w:r>
        <w:rPr>
          <w:rFonts w:ascii="Aptos" w:hAnsi="Aptos"/>
          <w:color w:val="14181C"/>
          <w:sz w:val="18"/>
        </w:rPr>
        <w:t>• Control mapping</w:t>
      </w:r>
    </w:p>
    <w:p>
      <w:pPr>
        <w:spacing w:after="40"/>
        <w:ind w:left="288" w:hanging="173"/>
      </w:pPr>
      <w:r>
        <w:rPr>
          <w:rFonts w:ascii="Aptos" w:hAnsi="Aptos"/>
          <w:color w:val="14181C"/>
          <w:sz w:val="18"/>
        </w:rPr>
        <w:t>• Evidence planning</w:t>
      </w:r>
    </w:p>
    <w:p>
      <w:pPr>
        <w:spacing w:after="40"/>
        <w:ind w:left="288" w:hanging="173"/>
      </w:pPr>
      <w:r>
        <w:rPr>
          <w:rFonts w:ascii="Aptos" w:hAnsi="Aptos"/>
          <w:color w:val="14181C"/>
          <w:sz w:val="18"/>
        </w:rPr>
        <w:t>• Audit readiness</w:t>
      </w:r>
    </w:p>
    <w:p>
      <w:pPr>
        <w:spacing w:after="40"/>
        <w:ind w:left="288" w:hanging="173"/>
      </w:pPr>
      <w:r>
        <w:rPr>
          <w:rFonts w:ascii="Aptos" w:hAnsi="Aptos"/>
          <w:color w:val="14181C"/>
          <w:sz w:val="18"/>
        </w:rPr>
        <w:t>• Risk-based remediation</w:t>
      </w:r>
    </w:p>
    <w:p>
      <w:pPr>
        <w:spacing w:after="40"/>
        <w:ind w:left="288" w:hanging="173"/>
      </w:pPr>
      <w:r>
        <w:rPr>
          <w:rFonts w:ascii="Aptos" w:hAnsi="Aptos"/>
          <w:color w:val="14181C"/>
          <w:sz w:val="18"/>
        </w:rPr>
        <w:t>• Identity and access governance</w:t>
      </w:r>
    </w:p>
    <w:p>
      <w:pPr>
        <w:spacing w:after="40"/>
        <w:ind w:left="288" w:hanging="173"/>
      </w:pPr>
      <w:r>
        <w:rPr>
          <w:rFonts w:ascii="Aptos" w:hAnsi="Aptos"/>
          <w:color w:val="14181C"/>
          <w:sz w:val="18"/>
        </w:rPr>
        <w:t>• Privileged access review</w:t>
      </w:r>
    </w:p>
    <w:p>
      <w:pPr>
        <w:spacing w:after="40"/>
        <w:ind w:left="288" w:hanging="173"/>
      </w:pPr>
      <w:r>
        <w:rPr>
          <w:rFonts w:ascii="Aptos" w:hAnsi="Aptos"/>
          <w:color w:val="14181C"/>
          <w:sz w:val="18"/>
        </w:rPr>
        <w:t>• Technical-to-business risk translation</w:t>
      </w:r>
    </w:p>
    <w:p>
      <w:pPr>
        <w:spacing w:after="40"/>
        <w:ind w:left="288" w:hanging="173"/>
      </w:pPr>
      <w:r>
        <w:rPr>
          <w:rFonts w:ascii="Aptos" w:hAnsi="Aptos"/>
          <w:color w:val="14181C"/>
          <w:sz w:val="18"/>
        </w:rPr>
        <w:t>• Governance documentation</w:t>
      </w:r>
    </w:p>
    <w:p>
      <w:pPr>
        <w:spacing w:before="200" w:after="80"/>
      </w:pPr>
      <w:r>
        <w:rPr>
          <w:rFonts w:ascii="Georgia" w:hAnsi="Georgia"/>
          <w:b/>
          <w:color w:val="0C2340"/>
          <w:sz w:val="32"/>
        </w:rPr>
        <w:t>9. Interview Talking Point</w:t>
      </w:r>
    </w:p>
    <w:p>
      <w:pPr>
        <w:spacing w:after="100" w:line="252" w:lineRule="auto"/>
      </w:pPr>
      <w:r>
        <w:rPr>
          <w:rFonts w:ascii="Aptos" w:hAnsi="Aptos"/>
          <w:color w:val="14181C"/>
          <w:sz w:val="19"/>
        </w:rPr>
        <w:t>This artifact demonstrates how I translate access control findings into governance-ready language. I preserved the original compliance findings and control references, then organized them into control themes, evidence needs, technology operations governance categories, and remediation planning. It shows that I can approach access compliance from both a technical and audit-readiness perspective without overstating implementation work.</w:t>
      </w:r>
    </w:p>
    <w:p>
      <w:pPr>
        <w:spacing w:before="200" w:after="80"/>
      </w:pPr>
      <w:r>
        <w:rPr>
          <w:rFonts w:ascii="Georgia" w:hAnsi="Georgia"/>
          <w:b/>
          <w:color w:val="0C2340"/>
          <w:sz w:val="32"/>
        </w:rPr>
        <w:t>10. Resume Tie-In</w:t>
      </w:r>
    </w:p>
    <w:p>
      <w:pPr>
        <w:spacing w:after="100" w:line="252" w:lineRule="auto"/>
      </w:pPr>
      <w:r>
        <w:rPr>
          <w:rFonts w:ascii="Aptos" w:hAnsi="Aptos"/>
          <w:color w:val="14181C"/>
          <w:sz w:val="19"/>
        </w:rPr>
        <w:t>Developed a scenario-based access control compliance crosswalk translating academic assessment findings into governance categories, control themes, evidence requirements, and risk-based remediation planning for a professional GRC portfolio artifact.</w:t>
      </w:r>
    </w:p>
    <w:p>
      <w:pPr>
        <w:spacing w:before="200" w:after="80"/>
      </w:pPr>
      <w:r>
        <w:rPr>
          <w:rFonts w:ascii="Georgia" w:hAnsi="Georgia"/>
          <w:b/>
          <w:color w:val="0C2340"/>
          <w:sz w:val="32"/>
        </w:rPr>
        <w:t>11. Website Portfolio Summary</w:t>
      </w:r>
    </w:p>
    <w:p>
      <w:pPr>
        <w:spacing w:after="100" w:line="252" w:lineRule="auto"/>
      </w:pPr>
      <w:r>
        <w:rPr>
          <w:rFonts w:ascii="Aptos" w:hAnsi="Aptos"/>
          <w:color w:val="14181C"/>
          <w:sz w:val="19"/>
        </w:rPr>
        <w:t>This Digital Ruins portfolio artifact translates simulated access control compliance findings into a governance-ready crosswalk. The case study demonstrates how access issues can be organized by control theme, evidence need, audit readiness, and remediation priority without presenting the work as a real client engagement.</w:t>
      </w:r>
    </w:p>
    <w:p>
      <w:pPr>
        <w:spacing w:before="200" w:after="80"/>
      </w:pPr>
      <w:r>
        <w:rPr>
          <w:rFonts w:ascii="Georgia" w:hAnsi="Georgia"/>
          <w:b/>
          <w:color w:val="0C2340"/>
          <w:sz w:val="32"/>
        </w:rPr>
        <w:t>12. Cleanup Notes Before Posting</w:t>
      </w:r>
    </w:p>
    <w:p>
      <w:pPr>
        <w:spacing w:after="40"/>
        <w:ind w:left="288" w:hanging="173"/>
      </w:pPr>
      <w:r>
        <w:rPr>
          <w:rFonts w:ascii="Aptos" w:hAnsi="Aptos"/>
          <w:color w:val="14181C"/>
          <w:sz w:val="18"/>
        </w:rPr>
        <w:t>• Review citations and source references before public posting.</w:t>
      </w:r>
    </w:p>
    <w:p>
      <w:pPr>
        <w:spacing w:after="40"/>
        <w:ind w:left="288" w:hanging="173"/>
      </w:pPr>
      <w:r>
        <w:rPr>
          <w:rFonts w:ascii="Aptos" w:hAnsi="Aptos"/>
          <w:color w:val="14181C"/>
          <w:sz w:val="18"/>
        </w:rPr>
        <w:t>• Keep raw academic source files private as supporting evidence.</w:t>
      </w:r>
    </w:p>
    <w:p>
      <w:pPr>
        <w:spacing w:after="40"/>
        <w:ind w:left="288" w:hanging="173"/>
      </w:pPr>
      <w:r>
        <w:rPr>
          <w:rFonts w:ascii="Aptos" w:hAnsi="Aptos"/>
          <w:color w:val="14181C"/>
          <w:sz w:val="18"/>
        </w:rPr>
        <w:t>• Remove course-template wording and grading-oriented language from the public version.</w:t>
      </w:r>
    </w:p>
    <w:p>
      <w:pPr>
        <w:spacing w:after="40"/>
        <w:ind w:left="288" w:hanging="173"/>
      </w:pPr>
      <w:r>
        <w:rPr>
          <w:rFonts w:ascii="Aptos" w:hAnsi="Aptos"/>
          <w:color w:val="14181C"/>
          <w:sz w:val="18"/>
        </w:rPr>
        <w:t>• Avoid claiming formal framework mapping beyond the control references explicitly present in the source.</w:t>
      </w:r>
    </w:p>
    <w:p>
      <w:pPr>
        <w:spacing w:after="40"/>
        <w:ind w:left="288" w:hanging="173"/>
      </w:pPr>
      <w:r>
        <w:rPr>
          <w:rFonts w:ascii="Aptos" w:hAnsi="Aptos"/>
          <w:color w:val="14181C"/>
          <w:sz w:val="18"/>
        </w:rPr>
        <w:t>• Verify that all NIST CSF-style and Technology Operations Governance labels are framed as portfolio interpretation or future polish when not stated in the source.</w:t>
      </w:r>
    </w:p>
    <w:p>
      <w:pPr>
        <w:spacing w:after="40"/>
        <w:ind w:left="288" w:hanging="173"/>
      </w:pPr>
      <w:r>
        <w:rPr>
          <w:rFonts w:ascii="Aptos" w:hAnsi="Aptos"/>
          <w:color w:val="14181C"/>
          <w:sz w:val="18"/>
        </w:rPr>
        <w:t>• Do not mark remediation actions as completed unless future evidence clearly supports completion.</w:t>
      </w:r>
    </w:p>
    <w:sectPr w:rsidR="00FC693F" w:rsidRPr="0006063C" w:rsidSect="00034616">
      <w:footerReference w:type="default" r:id="rId9"/>
      <w:pgSz w:w="15840" w:h="12240" w:orient="landscape"/>
      <w:pgMar w:top="648" w:right="504" w:bottom="648"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B6B7C"/>
        <w:sz w:val="15"/>
      </w:rPr>
      <w:t>AEGIS QUANTUM TRUST | Scenario-Based GRC Portfolio Artifact | Source: CYB 400 Access Control Compliance Assessment Worksheet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4181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Control Compliance Crosswalk</dc:title>
  <dc:subject>Scenario-based GRC portfolio artifact based on source access control compliance material</dc:subject>
  <dc:creator>Aegis Quantum Trust Portfolio</dc:creator>
  <cp:keywords/>
  <dc:description>Source-based document. Does not imply real client engagement or implemented controls.</dc:description>
  <cp:lastModifiedBy/>
  <cp:revision>1</cp:revision>
  <dcterms:created xsi:type="dcterms:W3CDTF">2013-12-23T23:15:00Z</dcterms:created>
  <dcterms:modified xsi:type="dcterms:W3CDTF">2013-12-23T23:15:00Z</dcterms:modified>
  <cp:category/>
</cp:coreProperties>
</file>